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9D6" w:rsidRPr="002D2097" w:rsidRDefault="00D73D46" w:rsidP="006969D6">
      <w:pPr>
        <w:pStyle w:val="Heading1"/>
        <w:rPr>
          <w:rFonts w:ascii="Times New Roman" w:hAnsi="Times New Roman"/>
          <w:sz w:val="24"/>
          <w:szCs w:val="24"/>
          <w:lang w:val="en-NZ"/>
        </w:rPr>
      </w:pPr>
      <w:bookmarkStart w:id="0" w:name="_GoBack"/>
      <w:bookmarkEnd w:id="0"/>
      <w:r>
        <w:rPr>
          <w:rFonts w:ascii="Times New Roman" w:hAnsi="Times New Roman"/>
          <w:sz w:val="24"/>
          <w:szCs w:val="24"/>
          <w:lang w:val="en-NZ"/>
        </w:rPr>
        <w:t xml:space="preserve">INCLUDING </w:t>
      </w:r>
      <w:r w:rsidR="006969D6" w:rsidRPr="002D2097">
        <w:rPr>
          <w:rFonts w:ascii="Times New Roman" w:hAnsi="Times New Roman"/>
          <w:sz w:val="24"/>
          <w:szCs w:val="24"/>
          <w:lang w:val="en-NZ"/>
        </w:rPr>
        <w:t>TRUST</w:t>
      </w:r>
      <w:r>
        <w:rPr>
          <w:rFonts w:ascii="Times New Roman" w:hAnsi="Times New Roman"/>
          <w:sz w:val="24"/>
          <w:szCs w:val="24"/>
          <w:lang w:val="en-NZ"/>
        </w:rPr>
        <w:t>S IN</w:t>
      </w:r>
      <w:r w:rsidR="006969D6" w:rsidRPr="002D2097">
        <w:rPr>
          <w:rFonts w:ascii="Times New Roman" w:hAnsi="Times New Roman"/>
          <w:sz w:val="24"/>
          <w:szCs w:val="24"/>
          <w:lang w:val="en-NZ"/>
        </w:rPr>
        <w:t xml:space="preserve"> RELATIONSHIP PROPERTY ARBITRATIONS</w:t>
      </w:r>
    </w:p>
    <w:p w:rsidR="00AE78E6" w:rsidRDefault="00611BD8" w:rsidP="002E230C">
      <w:pPr>
        <w:rPr>
          <w:szCs w:val="24"/>
          <w:lang w:val="en-NZ"/>
        </w:rPr>
      </w:pPr>
      <w:r>
        <w:rPr>
          <w:szCs w:val="24"/>
          <w:lang w:val="en-NZ"/>
        </w:rPr>
        <w:t>Robert Fisher</w:t>
      </w:r>
      <w:bookmarkStart w:id="1" w:name="_Ref400025328"/>
      <w:r>
        <w:rPr>
          <w:rStyle w:val="FootnoteReference"/>
          <w:szCs w:val="24"/>
          <w:lang w:val="en-NZ"/>
        </w:rPr>
        <w:footnoteReference w:id="1"/>
      </w:r>
      <w:bookmarkEnd w:id="1"/>
    </w:p>
    <w:p w:rsidR="00C40F71" w:rsidRDefault="00D73D46" w:rsidP="002E230C">
      <w:pPr>
        <w:rPr>
          <w:lang w:val="en-NZ"/>
        </w:rPr>
      </w:pPr>
      <w:r>
        <w:rPr>
          <w:lang w:val="en-NZ"/>
        </w:rPr>
        <w:t xml:space="preserve">A central feature of </w:t>
      </w:r>
      <w:r w:rsidR="00370FAC">
        <w:rPr>
          <w:lang w:val="en-NZ"/>
        </w:rPr>
        <w:t xml:space="preserve">most </w:t>
      </w:r>
      <w:r w:rsidR="00087A94">
        <w:rPr>
          <w:lang w:val="en-NZ"/>
        </w:rPr>
        <w:t xml:space="preserve">complex relationship property disputes is the family trust. This article considers the extent to which trusts can be included </w:t>
      </w:r>
      <w:r w:rsidR="00D81ED2">
        <w:rPr>
          <w:lang w:val="en-NZ"/>
        </w:rPr>
        <w:t xml:space="preserve">in </w:t>
      </w:r>
      <w:r w:rsidR="00E56707" w:rsidRPr="003D50A5">
        <w:rPr>
          <w:lang w:val="en-NZ"/>
        </w:rPr>
        <w:t>relationship property arbitration</w:t>
      </w:r>
      <w:r w:rsidR="00087A94">
        <w:rPr>
          <w:lang w:val="en-NZ"/>
        </w:rPr>
        <w:t>s</w:t>
      </w:r>
      <w:r w:rsidR="00E56707">
        <w:rPr>
          <w:lang w:val="en-NZ"/>
        </w:rPr>
        <w:t>.</w:t>
      </w:r>
    </w:p>
    <w:p w:rsidR="002E230C" w:rsidRPr="003D50A5" w:rsidRDefault="00DA2C98" w:rsidP="002E230C">
      <w:pPr>
        <w:rPr>
          <w:lang w:val="en-NZ"/>
        </w:rPr>
      </w:pPr>
      <w:r>
        <w:rPr>
          <w:lang w:val="en-NZ"/>
        </w:rPr>
        <w:t xml:space="preserve">The </w:t>
      </w:r>
      <w:r w:rsidR="002E230C" w:rsidRPr="003D50A5">
        <w:rPr>
          <w:lang w:val="en-NZ"/>
        </w:rPr>
        <w:t xml:space="preserve">article is confined to disputes between </w:t>
      </w:r>
      <w:r>
        <w:rPr>
          <w:lang w:val="en-NZ"/>
        </w:rPr>
        <w:t xml:space="preserve">the living parties to a </w:t>
      </w:r>
      <w:r w:rsidR="002E230C" w:rsidRPr="003D50A5">
        <w:rPr>
          <w:lang w:val="en-NZ"/>
        </w:rPr>
        <w:t xml:space="preserve">former </w:t>
      </w:r>
      <w:r>
        <w:rPr>
          <w:lang w:val="en-NZ"/>
        </w:rPr>
        <w:t>legal or de facto marriage or civil union</w:t>
      </w:r>
      <w:r w:rsidR="007F1D65">
        <w:rPr>
          <w:lang w:val="en-NZ"/>
        </w:rPr>
        <w:t xml:space="preserve"> </w:t>
      </w:r>
      <w:r>
        <w:rPr>
          <w:lang w:val="en-NZ"/>
        </w:rPr>
        <w:t>(</w:t>
      </w:r>
      <w:r w:rsidR="00A50DE9">
        <w:rPr>
          <w:lang w:val="en-NZ"/>
        </w:rPr>
        <w:t xml:space="preserve">for present purposes referred </w:t>
      </w:r>
      <w:r>
        <w:rPr>
          <w:lang w:val="en-NZ"/>
        </w:rPr>
        <w:t xml:space="preserve">to </w:t>
      </w:r>
      <w:r w:rsidR="00A50DE9">
        <w:rPr>
          <w:lang w:val="en-NZ"/>
        </w:rPr>
        <w:t xml:space="preserve">as </w:t>
      </w:r>
      <w:r>
        <w:rPr>
          <w:lang w:val="en-NZ"/>
        </w:rPr>
        <w:t>“</w:t>
      </w:r>
      <w:r w:rsidR="002E230C" w:rsidRPr="003D50A5">
        <w:rPr>
          <w:lang w:val="en-NZ"/>
        </w:rPr>
        <w:t>spouses</w:t>
      </w:r>
      <w:r>
        <w:rPr>
          <w:lang w:val="en-NZ"/>
        </w:rPr>
        <w:t>”</w:t>
      </w:r>
      <w:r w:rsidR="008166CD" w:rsidRPr="008166CD">
        <w:rPr>
          <w:rStyle w:val="FootnoteReference"/>
          <w:lang w:val="en-NZ"/>
        </w:rPr>
        <w:t xml:space="preserve"> </w:t>
      </w:r>
      <w:r w:rsidR="008166CD">
        <w:rPr>
          <w:rStyle w:val="FootnoteReference"/>
          <w:lang w:val="en-NZ"/>
        </w:rPr>
        <w:footnoteReference w:id="2"/>
      </w:r>
      <w:r>
        <w:rPr>
          <w:lang w:val="en-NZ"/>
        </w:rPr>
        <w:t>)</w:t>
      </w:r>
      <w:r w:rsidR="002E230C" w:rsidRPr="003D50A5">
        <w:rPr>
          <w:lang w:val="en-NZ"/>
        </w:rPr>
        <w:t xml:space="preserve">. </w:t>
      </w:r>
      <w:r>
        <w:rPr>
          <w:lang w:val="en-NZ"/>
        </w:rPr>
        <w:t xml:space="preserve">The article </w:t>
      </w:r>
      <w:r w:rsidR="002E230C" w:rsidRPr="003D50A5">
        <w:rPr>
          <w:lang w:val="en-NZ"/>
        </w:rPr>
        <w:t>assumes that all concerned are happy to resolve the dispute by arbitration so long as there is jurisdiction for</w:t>
      </w:r>
      <w:r w:rsidR="004C302D">
        <w:rPr>
          <w:lang w:val="en-NZ"/>
        </w:rPr>
        <w:t xml:space="preserve"> it</w:t>
      </w:r>
      <w:r w:rsidR="002E230C" w:rsidRPr="003D50A5">
        <w:rPr>
          <w:lang w:val="en-NZ"/>
        </w:rPr>
        <w:t xml:space="preserve">. </w:t>
      </w:r>
      <w:r w:rsidR="00087A94">
        <w:rPr>
          <w:lang w:val="en-NZ"/>
        </w:rPr>
        <w:t xml:space="preserve">The </w:t>
      </w:r>
      <w:r w:rsidR="002F79F8">
        <w:rPr>
          <w:lang w:val="en-NZ"/>
        </w:rPr>
        <w:t xml:space="preserve">reasons for </w:t>
      </w:r>
      <w:r w:rsidR="00370FAC">
        <w:rPr>
          <w:lang w:val="en-NZ"/>
        </w:rPr>
        <w:t>doing so have been traversed</w:t>
      </w:r>
      <w:r w:rsidR="008166CD">
        <w:rPr>
          <w:lang w:val="en-NZ"/>
        </w:rPr>
        <w:t xml:space="preserve"> elsewhere</w:t>
      </w:r>
      <w:r w:rsidRPr="003D50A5">
        <w:rPr>
          <w:lang w:val="en-NZ"/>
        </w:rPr>
        <w:t>.</w:t>
      </w:r>
      <w:r w:rsidR="00370FAC">
        <w:rPr>
          <w:rStyle w:val="FootnoteReference"/>
          <w:lang w:val="en-NZ"/>
        </w:rPr>
        <w:footnoteReference w:id="3"/>
      </w:r>
    </w:p>
    <w:p w:rsidR="005D4EA6" w:rsidRDefault="005D4EA6" w:rsidP="005D4EA6">
      <w:pPr>
        <w:pStyle w:val="Heading1"/>
        <w:rPr>
          <w:lang w:val="en-NZ"/>
        </w:rPr>
      </w:pPr>
      <w:r w:rsidRPr="00D14842">
        <w:rPr>
          <w:rFonts w:ascii="Times New Roman" w:hAnsi="Times New Roman"/>
          <w:color w:val="auto"/>
          <w:sz w:val="24"/>
          <w:lang w:val="en-NZ"/>
        </w:rPr>
        <w:t xml:space="preserve">When do trusts </w:t>
      </w:r>
      <w:r w:rsidR="00835118">
        <w:rPr>
          <w:rFonts w:ascii="Times New Roman" w:hAnsi="Times New Roman"/>
          <w:color w:val="auto"/>
          <w:sz w:val="24"/>
          <w:lang w:val="en-NZ"/>
        </w:rPr>
        <w:t xml:space="preserve">arise </w:t>
      </w:r>
      <w:r w:rsidRPr="00D14842">
        <w:rPr>
          <w:rFonts w:ascii="Times New Roman" w:hAnsi="Times New Roman"/>
          <w:color w:val="auto"/>
          <w:sz w:val="24"/>
          <w:lang w:val="en-NZ"/>
        </w:rPr>
        <w:t>in relationship property disputes</w:t>
      </w:r>
      <w:r>
        <w:rPr>
          <w:lang w:val="en-NZ"/>
        </w:rPr>
        <w:t>?</w:t>
      </w:r>
    </w:p>
    <w:p w:rsidR="006E6346" w:rsidRPr="006E6346" w:rsidRDefault="00D14842" w:rsidP="006E6346">
      <w:pPr>
        <w:rPr>
          <w:lang w:val="en-NZ"/>
        </w:rPr>
      </w:pPr>
      <w:r>
        <w:rPr>
          <w:lang w:val="en-NZ"/>
        </w:rPr>
        <w:t xml:space="preserve">Trusts can figure </w:t>
      </w:r>
      <w:r w:rsidR="006E6346">
        <w:rPr>
          <w:lang w:val="en-NZ"/>
        </w:rPr>
        <w:t xml:space="preserve">in relationship property disputes </w:t>
      </w:r>
      <w:r>
        <w:rPr>
          <w:lang w:val="en-NZ"/>
        </w:rPr>
        <w:t>in a number of ways</w:t>
      </w:r>
      <w:r w:rsidR="00C9634E">
        <w:rPr>
          <w:lang w:val="en-NZ"/>
        </w:rPr>
        <w:t>. The</w:t>
      </w:r>
      <w:r w:rsidR="008166CD">
        <w:rPr>
          <w:lang w:val="en-NZ"/>
        </w:rPr>
        <w:t>y</w:t>
      </w:r>
      <w:r w:rsidR="00835118">
        <w:rPr>
          <w:lang w:val="en-NZ"/>
        </w:rPr>
        <w:t xml:space="preserve"> </w:t>
      </w:r>
      <w:r w:rsidR="00C9634E">
        <w:rPr>
          <w:lang w:val="en-NZ"/>
        </w:rPr>
        <w:t>include</w:t>
      </w:r>
      <w:r w:rsidR="006E6346">
        <w:rPr>
          <w:lang w:val="en-NZ"/>
        </w:rPr>
        <w:t xml:space="preserve">: </w:t>
      </w:r>
    </w:p>
    <w:p w:rsidR="00664F4A" w:rsidRPr="00D14842" w:rsidRDefault="006E6346" w:rsidP="00D14842">
      <w:pPr>
        <w:pStyle w:val="ListParagraph"/>
        <w:numPr>
          <w:ilvl w:val="0"/>
          <w:numId w:val="7"/>
        </w:numPr>
        <w:rPr>
          <w:lang w:val="en-NZ"/>
        </w:rPr>
      </w:pPr>
      <w:r w:rsidRPr="00D14842">
        <w:rPr>
          <w:lang w:val="en-NZ"/>
        </w:rPr>
        <w:t>C</w:t>
      </w:r>
      <w:r w:rsidR="00664F4A" w:rsidRPr="00D14842">
        <w:rPr>
          <w:lang w:val="en-NZ"/>
        </w:rPr>
        <w:t>l</w:t>
      </w:r>
      <w:r w:rsidR="00F43685" w:rsidRPr="00D14842">
        <w:rPr>
          <w:lang w:val="en-NZ"/>
        </w:rPr>
        <w:t xml:space="preserve">aims </w:t>
      </w:r>
      <w:r w:rsidR="00D14842">
        <w:rPr>
          <w:lang w:val="en-NZ"/>
        </w:rPr>
        <w:t xml:space="preserve">for </w:t>
      </w:r>
      <w:r w:rsidR="00B567A1">
        <w:rPr>
          <w:lang w:val="en-NZ"/>
        </w:rPr>
        <w:t xml:space="preserve">compensatory orders </w:t>
      </w:r>
      <w:r w:rsidR="00F43685" w:rsidRPr="00D14842">
        <w:rPr>
          <w:lang w:val="en-NZ"/>
        </w:rPr>
        <w:t xml:space="preserve">under </w:t>
      </w:r>
      <w:r w:rsidR="00D14842">
        <w:rPr>
          <w:lang w:val="en-NZ"/>
        </w:rPr>
        <w:t xml:space="preserve">s </w:t>
      </w:r>
      <w:r w:rsidR="00F43685" w:rsidRPr="00D14842">
        <w:rPr>
          <w:lang w:val="en-NZ"/>
        </w:rPr>
        <w:t>44C of the PRA</w:t>
      </w:r>
      <w:r w:rsidR="004115F1">
        <w:rPr>
          <w:lang w:val="en-NZ"/>
        </w:rPr>
        <w:t xml:space="preserve"> where relationship property has been settled on a trust</w:t>
      </w:r>
      <w:r w:rsidR="00D14842">
        <w:rPr>
          <w:lang w:val="en-NZ"/>
        </w:rPr>
        <w:t>;</w:t>
      </w:r>
      <w:r w:rsidR="00F43685" w:rsidRPr="00D14842">
        <w:rPr>
          <w:lang w:val="en-NZ"/>
        </w:rPr>
        <w:t xml:space="preserve"> </w:t>
      </w:r>
    </w:p>
    <w:p w:rsidR="004115F1" w:rsidRPr="00D14842" w:rsidRDefault="004115F1" w:rsidP="00D14842">
      <w:pPr>
        <w:pStyle w:val="ListParagraph"/>
        <w:numPr>
          <w:ilvl w:val="0"/>
          <w:numId w:val="7"/>
        </w:numPr>
        <w:rPr>
          <w:lang w:val="en-NZ"/>
        </w:rPr>
      </w:pPr>
      <w:r w:rsidRPr="00D14842">
        <w:rPr>
          <w:lang w:val="en-NZ"/>
        </w:rPr>
        <w:t xml:space="preserve">Claims for orders setting aside dispositions of property to trustees under s 44 of the PRA; </w:t>
      </w:r>
    </w:p>
    <w:p w:rsidR="00664F4A" w:rsidRPr="00D14842" w:rsidRDefault="00F43685" w:rsidP="00D14842">
      <w:pPr>
        <w:pStyle w:val="ListParagraph"/>
        <w:numPr>
          <w:ilvl w:val="0"/>
          <w:numId w:val="7"/>
        </w:numPr>
        <w:rPr>
          <w:lang w:val="en-NZ"/>
        </w:rPr>
      </w:pPr>
      <w:r w:rsidRPr="00D14842">
        <w:rPr>
          <w:lang w:val="en-NZ"/>
        </w:rPr>
        <w:t>“</w:t>
      </w:r>
      <w:r w:rsidR="00D14842" w:rsidRPr="00D14842">
        <w:rPr>
          <w:lang w:val="en-NZ"/>
        </w:rPr>
        <w:t xml:space="preserve">Bundle </w:t>
      </w:r>
      <w:r w:rsidRPr="00D14842">
        <w:rPr>
          <w:lang w:val="en-NZ"/>
        </w:rPr>
        <w:t xml:space="preserve">of rights” claims </w:t>
      </w:r>
      <w:r w:rsidR="00B567A1">
        <w:rPr>
          <w:lang w:val="en-NZ"/>
        </w:rPr>
        <w:t xml:space="preserve">which seek </w:t>
      </w:r>
      <w:r w:rsidRPr="00D14842">
        <w:rPr>
          <w:lang w:val="en-NZ"/>
        </w:rPr>
        <w:t xml:space="preserve">to treat one spouse’s  </w:t>
      </w:r>
      <w:r w:rsidR="00B567A1">
        <w:rPr>
          <w:lang w:val="en-NZ"/>
        </w:rPr>
        <w:t xml:space="preserve">collective trust </w:t>
      </w:r>
      <w:r w:rsidRPr="00D14842">
        <w:rPr>
          <w:lang w:val="en-NZ"/>
        </w:rPr>
        <w:t xml:space="preserve">rights </w:t>
      </w:r>
      <w:r w:rsidR="00B567A1">
        <w:rPr>
          <w:lang w:val="en-NZ"/>
        </w:rPr>
        <w:t xml:space="preserve">and powers </w:t>
      </w:r>
      <w:r w:rsidRPr="00D14842">
        <w:rPr>
          <w:lang w:val="en-NZ"/>
        </w:rPr>
        <w:t>as relationship property</w:t>
      </w:r>
      <w:r w:rsidR="00D14842">
        <w:rPr>
          <w:lang w:val="en-NZ"/>
        </w:rPr>
        <w:t>;</w:t>
      </w:r>
      <w:r w:rsidRPr="00D14842">
        <w:rPr>
          <w:lang w:val="en-NZ"/>
        </w:rPr>
        <w:t xml:space="preserve"> </w:t>
      </w:r>
    </w:p>
    <w:p w:rsidR="00F43685" w:rsidRPr="00D14842" w:rsidRDefault="002F79F8" w:rsidP="00D14842">
      <w:pPr>
        <w:pStyle w:val="ListParagraph"/>
        <w:numPr>
          <w:ilvl w:val="0"/>
          <w:numId w:val="7"/>
        </w:numPr>
        <w:rPr>
          <w:lang w:val="en-NZ"/>
        </w:rPr>
      </w:pPr>
      <w:r>
        <w:rPr>
          <w:lang w:val="en-NZ"/>
        </w:rPr>
        <w:t>Claims</w:t>
      </w:r>
      <w:r w:rsidR="00B567A1">
        <w:rPr>
          <w:lang w:val="en-NZ"/>
        </w:rPr>
        <w:t xml:space="preserve"> </w:t>
      </w:r>
      <w:r w:rsidR="00D14842">
        <w:rPr>
          <w:lang w:val="en-NZ"/>
        </w:rPr>
        <w:t xml:space="preserve">that </w:t>
      </w:r>
      <w:r w:rsidR="00F43685" w:rsidRPr="00D14842">
        <w:rPr>
          <w:lang w:val="en-NZ"/>
        </w:rPr>
        <w:t xml:space="preserve">the resources of </w:t>
      </w:r>
      <w:r w:rsidR="00D14842">
        <w:rPr>
          <w:lang w:val="en-NZ"/>
        </w:rPr>
        <w:t xml:space="preserve">a </w:t>
      </w:r>
      <w:r w:rsidR="00F43685" w:rsidRPr="00D14842">
        <w:rPr>
          <w:lang w:val="en-NZ"/>
        </w:rPr>
        <w:t xml:space="preserve">trust </w:t>
      </w:r>
      <w:r w:rsidR="00D14842">
        <w:rPr>
          <w:lang w:val="en-NZ"/>
        </w:rPr>
        <w:t xml:space="preserve">should be </w:t>
      </w:r>
      <w:r w:rsidR="00F43685" w:rsidRPr="00D14842">
        <w:rPr>
          <w:lang w:val="en-NZ"/>
        </w:rPr>
        <w:t xml:space="preserve">wholly </w:t>
      </w:r>
      <w:r w:rsidR="00D14842">
        <w:rPr>
          <w:lang w:val="en-NZ"/>
        </w:rPr>
        <w:t xml:space="preserve">or partially </w:t>
      </w:r>
      <w:r w:rsidR="00F43685" w:rsidRPr="00D14842">
        <w:rPr>
          <w:lang w:val="en-NZ"/>
        </w:rPr>
        <w:t xml:space="preserve">imputed to </w:t>
      </w:r>
      <w:r w:rsidR="00D14842">
        <w:rPr>
          <w:lang w:val="en-NZ"/>
        </w:rPr>
        <w:t xml:space="preserve">a </w:t>
      </w:r>
      <w:r w:rsidR="00F43685" w:rsidRPr="00D14842">
        <w:rPr>
          <w:lang w:val="en-NZ"/>
        </w:rPr>
        <w:t xml:space="preserve">spouse for the purpose of </w:t>
      </w:r>
      <w:r w:rsidR="00D14842">
        <w:rPr>
          <w:lang w:val="en-NZ"/>
        </w:rPr>
        <w:t xml:space="preserve">deciding </w:t>
      </w:r>
      <w:r w:rsidR="004115F1">
        <w:rPr>
          <w:lang w:val="en-NZ"/>
        </w:rPr>
        <w:t xml:space="preserve">what that </w:t>
      </w:r>
      <w:r w:rsidR="00F43685" w:rsidRPr="00D14842">
        <w:rPr>
          <w:lang w:val="en-NZ"/>
        </w:rPr>
        <w:t>spouse</w:t>
      </w:r>
      <w:r w:rsidR="00D14842">
        <w:rPr>
          <w:lang w:val="en-NZ"/>
        </w:rPr>
        <w:t xml:space="preserve"> </w:t>
      </w:r>
      <w:r w:rsidR="004115F1">
        <w:rPr>
          <w:lang w:val="en-NZ"/>
        </w:rPr>
        <w:t xml:space="preserve">requires, or can afford, </w:t>
      </w:r>
      <w:r w:rsidR="00D14842">
        <w:rPr>
          <w:lang w:val="en-NZ"/>
        </w:rPr>
        <w:t xml:space="preserve">for maintenance purposes; </w:t>
      </w:r>
    </w:p>
    <w:p w:rsidR="00664F4A" w:rsidRPr="00D14842" w:rsidRDefault="00664F4A" w:rsidP="00D14842">
      <w:pPr>
        <w:pStyle w:val="ListParagraph"/>
        <w:numPr>
          <w:ilvl w:val="0"/>
          <w:numId w:val="7"/>
        </w:numPr>
        <w:rPr>
          <w:lang w:val="en-NZ"/>
        </w:rPr>
      </w:pPr>
      <w:r w:rsidRPr="00D14842">
        <w:rPr>
          <w:lang w:val="en-NZ"/>
        </w:rPr>
        <w:t xml:space="preserve">Constructive </w:t>
      </w:r>
      <w:r w:rsidR="00F43685" w:rsidRPr="00D14842">
        <w:rPr>
          <w:lang w:val="en-NZ"/>
        </w:rPr>
        <w:t>trust claims against trustees</w:t>
      </w:r>
      <w:r w:rsidRPr="00D14842">
        <w:rPr>
          <w:lang w:val="en-NZ"/>
        </w:rPr>
        <w:t>;</w:t>
      </w:r>
      <w:r w:rsidR="00F43685" w:rsidRPr="00D14842">
        <w:rPr>
          <w:lang w:val="en-NZ"/>
        </w:rPr>
        <w:t xml:space="preserve"> </w:t>
      </w:r>
    </w:p>
    <w:p w:rsidR="00F43685" w:rsidRPr="00D14842" w:rsidRDefault="00664F4A" w:rsidP="00D14842">
      <w:pPr>
        <w:pStyle w:val="ListParagraph"/>
        <w:numPr>
          <w:ilvl w:val="0"/>
          <w:numId w:val="7"/>
        </w:numPr>
        <w:rPr>
          <w:lang w:val="en-NZ"/>
        </w:rPr>
      </w:pPr>
      <w:r w:rsidRPr="00D14842">
        <w:rPr>
          <w:lang w:val="en-NZ"/>
        </w:rPr>
        <w:t xml:space="preserve">Claims </w:t>
      </w:r>
      <w:r w:rsidR="00F43685" w:rsidRPr="00D14842">
        <w:rPr>
          <w:lang w:val="en-NZ"/>
        </w:rPr>
        <w:t>that trust are shams.</w:t>
      </w:r>
    </w:p>
    <w:p w:rsidR="004115F1" w:rsidRDefault="00664F4A" w:rsidP="00D14842">
      <w:pPr>
        <w:pStyle w:val="ListParagraph"/>
        <w:numPr>
          <w:ilvl w:val="0"/>
          <w:numId w:val="7"/>
        </w:numPr>
        <w:rPr>
          <w:lang w:val="en-NZ"/>
        </w:rPr>
      </w:pPr>
      <w:r w:rsidRPr="00D14842">
        <w:rPr>
          <w:lang w:val="en-NZ"/>
        </w:rPr>
        <w:t xml:space="preserve">Claims for breach of trust brought in a </w:t>
      </w:r>
      <w:r w:rsidR="00F43685" w:rsidRPr="00D14842">
        <w:rPr>
          <w:lang w:val="en-NZ"/>
        </w:rPr>
        <w:t>spouse’s capacity as a beneficiary</w:t>
      </w:r>
      <w:r w:rsidRPr="00D14842">
        <w:rPr>
          <w:lang w:val="en-NZ"/>
        </w:rPr>
        <w:t>;</w:t>
      </w:r>
      <w:r w:rsidR="00F43685" w:rsidRPr="00D14842">
        <w:rPr>
          <w:lang w:val="en-NZ"/>
        </w:rPr>
        <w:t xml:space="preserve"> </w:t>
      </w:r>
    </w:p>
    <w:p w:rsidR="00664F4A" w:rsidRPr="00D14842" w:rsidRDefault="004115F1" w:rsidP="00D14842">
      <w:pPr>
        <w:pStyle w:val="ListParagraph"/>
        <w:numPr>
          <w:ilvl w:val="0"/>
          <w:numId w:val="7"/>
        </w:numPr>
        <w:rPr>
          <w:lang w:val="en-NZ"/>
        </w:rPr>
      </w:pPr>
      <w:r w:rsidRPr="00D14842">
        <w:rPr>
          <w:lang w:val="en-NZ"/>
        </w:rPr>
        <w:t xml:space="preserve">Applications </w:t>
      </w:r>
      <w:r w:rsidR="00F43685" w:rsidRPr="00D14842">
        <w:rPr>
          <w:lang w:val="en-NZ"/>
        </w:rPr>
        <w:t>by a beneficiary to remove a trustee</w:t>
      </w:r>
      <w:r w:rsidR="00B567A1">
        <w:rPr>
          <w:lang w:val="en-NZ"/>
        </w:rPr>
        <w:t>;</w:t>
      </w:r>
      <w:r w:rsidR="00F43685" w:rsidRPr="00D14842">
        <w:rPr>
          <w:lang w:val="en-NZ"/>
        </w:rPr>
        <w:t xml:space="preserve"> </w:t>
      </w:r>
    </w:p>
    <w:p w:rsidR="00664F4A" w:rsidRPr="00D14842" w:rsidRDefault="004115F1" w:rsidP="00D14842">
      <w:pPr>
        <w:pStyle w:val="ListParagraph"/>
        <w:numPr>
          <w:ilvl w:val="0"/>
          <w:numId w:val="7"/>
        </w:numPr>
        <w:rPr>
          <w:lang w:val="en-NZ"/>
        </w:rPr>
      </w:pPr>
      <w:r w:rsidRPr="00D14842">
        <w:rPr>
          <w:lang w:val="en-NZ"/>
        </w:rPr>
        <w:t xml:space="preserve">Applications </w:t>
      </w:r>
      <w:r w:rsidR="00F43685" w:rsidRPr="00D14842">
        <w:rPr>
          <w:lang w:val="en-NZ"/>
        </w:rPr>
        <w:t xml:space="preserve">for the exercise of </w:t>
      </w:r>
      <w:r>
        <w:rPr>
          <w:lang w:val="en-NZ"/>
        </w:rPr>
        <w:t xml:space="preserve">other </w:t>
      </w:r>
      <w:r w:rsidR="00234456">
        <w:rPr>
          <w:lang w:val="en-NZ"/>
        </w:rPr>
        <w:t xml:space="preserve">discretionary </w:t>
      </w:r>
      <w:r w:rsidR="00F43685" w:rsidRPr="00D14842">
        <w:rPr>
          <w:lang w:val="en-NZ"/>
        </w:rPr>
        <w:t xml:space="preserve">powers under Part 5 of the </w:t>
      </w:r>
      <w:r w:rsidR="00664F4A" w:rsidRPr="00D14842">
        <w:rPr>
          <w:lang w:val="en-NZ"/>
        </w:rPr>
        <w:t xml:space="preserve">Trustee </w:t>
      </w:r>
      <w:r w:rsidR="00F43685" w:rsidRPr="00D14842">
        <w:rPr>
          <w:lang w:val="en-NZ"/>
        </w:rPr>
        <w:t>Act 1956</w:t>
      </w:r>
      <w:r w:rsidR="00B567A1">
        <w:rPr>
          <w:lang w:val="en-NZ"/>
        </w:rPr>
        <w:t>;</w:t>
      </w:r>
      <w:r w:rsidR="00F43685" w:rsidRPr="00D14842">
        <w:rPr>
          <w:lang w:val="en-NZ"/>
        </w:rPr>
        <w:t xml:space="preserve"> </w:t>
      </w:r>
    </w:p>
    <w:p w:rsidR="00F43685" w:rsidRPr="00D14842" w:rsidRDefault="00664F4A" w:rsidP="00D14842">
      <w:pPr>
        <w:pStyle w:val="ListParagraph"/>
        <w:numPr>
          <w:ilvl w:val="0"/>
          <w:numId w:val="7"/>
        </w:numPr>
        <w:rPr>
          <w:lang w:val="en-NZ"/>
        </w:rPr>
      </w:pPr>
      <w:r w:rsidRPr="00D14842">
        <w:rPr>
          <w:lang w:val="en-NZ"/>
        </w:rPr>
        <w:t xml:space="preserve">Applications </w:t>
      </w:r>
      <w:r w:rsidR="00F43685" w:rsidRPr="00D14842">
        <w:rPr>
          <w:lang w:val="en-NZ"/>
        </w:rPr>
        <w:t>to vary a trust or apply its property under s 182 of the Family Proceedings Act 1980.</w:t>
      </w:r>
    </w:p>
    <w:p w:rsidR="00B64F22" w:rsidRDefault="00B64F22" w:rsidP="00B64F22">
      <w:pPr>
        <w:rPr>
          <w:szCs w:val="24"/>
          <w:lang w:val="en-NZ"/>
        </w:rPr>
      </w:pPr>
      <w:r w:rsidRPr="00B64F22">
        <w:rPr>
          <w:szCs w:val="24"/>
          <w:lang w:val="en-NZ"/>
        </w:rPr>
        <w:t>As a general proposition</w:t>
      </w:r>
      <w:r w:rsidR="0001481F">
        <w:rPr>
          <w:szCs w:val="24"/>
          <w:lang w:val="en-NZ"/>
        </w:rPr>
        <w:t>,</w:t>
      </w:r>
      <w:r w:rsidRPr="00B64F22">
        <w:rPr>
          <w:szCs w:val="24"/>
          <w:lang w:val="en-NZ"/>
        </w:rPr>
        <w:t xml:space="preserve"> any dispute which parties can resolve by way of agreement c</w:t>
      </w:r>
      <w:r w:rsidR="00835118">
        <w:rPr>
          <w:szCs w:val="24"/>
          <w:lang w:val="en-NZ"/>
        </w:rPr>
        <w:t>an be submitted to arbitration</w:t>
      </w:r>
      <w:r w:rsidRPr="00B64F22">
        <w:rPr>
          <w:szCs w:val="24"/>
          <w:lang w:val="en-NZ"/>
        </w:rPr>
        <w:t>.</w:t>
      </w:r>
      <w:r w:rsidR="00835118">
        <w:rPr>
          <w:rStyle w:val="FootnoteReference"/>
          <w:szCs w:val="24"/>
          <w:lang w:val="en-NZ"/>
        </w:rPr>
        <w:footnoteReference w:id="4"/>
      </w:r>
      <w:r w:rsidRPr="00B64F22">
        <w:rPr>
          <w:szCs w:val="24"/>
          <w:lang w:val="en-NZ"/>
        </w:rPr>
        <w:t xml:space="preserve">  </w:t>
      </w:r>
      <w:r>
        <w:rPr>
          <w:szCs w:val="24"/>
          <w:lang w:val="en-NZ"/>
        </w:rPr>
        <w:t>It follows that in each of the above cases</w:t>
      </w:r>
      <w:r w:rsidR="0001481F">
        <w:rPr>
          <w:szCs w:val="24"/>
          <w:lang w:val="en-NZ"/>
        </w:rPr>
        <w:t>,</w:t>
      </w:r>
      <w:r>
        <w:rPr>
          <w:szCs w:val="24"/>
          <w:lang w:val="en-NZ"/>
        </w:rPr>
        <w:t xml:space="preserve"> </w:t>
      </w:r>
      <w:r w:rsidR="00B567A1">
        <w:rPr>
          <w:szCs w:val="24"/>
          <w:lang w:val="en-NZ"/>
        </w:rPr>
        <w:t xml:space="preserve">the first step is </w:t>
      </w:r>
      <w:r>
        <w:rPr>
          <w:szCs w:val="24"/>
          <w:lang w:val="en-NZ"/>
        </w:rPr>
        <w:t xml:space="preserve">to ask whether those involved would be capable of compromising the dispute by contract. </w:t>
      </w:r>
      <w:r w:rsidR="00AB79A3">
        <w:rPr>
          <w:szCs w:val="24"/>
          <w:lang w:val="en-NZ"/>
        </w:rPr>
        <w:t>If</w:t>
      </w:r>
      <w:r w:rsidR="00835118">
        <w:rPr>
          <w:szCs w:val="24"/>
          <w:lang w:val="en-NZ"/>
        </w:rPr>
        <w:t xml:space="preserve"> they </w:t>
      </w:r>
      <w:r w:rsidR="00835118">
        <w:rPr>
          <w:szCs w:val="24"/>
          <w:lang w:val="en-NZ"/>
        </w:rPr>
        <w:lastRenderedPageBreak/>
        <w:t>would</w:t>
      </w:r>
      <w:r w:rsidR="00AB79A3">
        <w:rPr>
          <w:szCs w:val="24"/>
          <w:lang w:val="en-NZ"/>
        </w:rPr>
        <w:t xml:space="preserve">, it is necessary </w:t>
      </w:r>
      <w:r w:rsidR="00B567A1">
        <w:rPr>
          <w:szCs w:val="24"/>
          <w:lang w:val="en-NZ"/>
        </w:rPr>
        <w:t xml:space="preserve">to decide who </w:t>
      </w:r>
      <w:r w:rsidR="00234456">
        <w:rPr>
          <w:szCs w:val="24"/>
          <w:lang w:val="en-NZ"/>
        </w:rPr>
        <w:t xml:space="preserve">the </w:t>
      </w:r>
      <w:r w:rsidR="00B567A1">
        <w:rPr>
          <w:szCs w:val="24"/>
          <w:lang w:val="en-NZ"/>
        </w:rPr>
        <w:t xml:space="preserve">parties to </w:t>
      </w:r>
      <w:r w:rsidR="00AB79A3">
        <w:rPr>
          <w:szCs w:val="24"/>
          <w:lang w:val="en-NZ"/>
        </w:rPr>
        <w:t xml:space="preserve">such a </w:t>
      </w:r>
      <w:r w:rsidR="00B567A1">
        <w:rPr>
          <w:szCs w:val="24"/>
          <w:lang w:val="en-NZ"/>
        </w:rPr>
        <w:t>contract</w:t>
      </w:r>
      <w:r w:rsidR="00234456">
        <w:rPr>
          <w:szCs w:val="24"/>
          <w:lang w:val="en-NZ"/>
        </w:rPr>
        <w:t xml:space="preserve"> would need to be</w:t>
      </w:r>
      <w:r w:rsidR="00B567A1">
        <w:rPr>
          <w:szCs w:val="24"/>
          <w:lang w:val="en-NZ"/>
        </w:rPr>
        <w:t xml:space="preserve">. </w:t>
      </w:r>
      <w:r w:rsidR="00650505">
        <w:rPr>
          <w:szCs w:val="24"/>
          <w:lang w:val="en-NZ"/>
        </w:rPr>
        <w:t xml:space="preserve">In </w:t>
      </w:r>
      <w:r w:rsidR="00234456">
        <w:rPr>
          <w:szCs w:val="24"/>
          <w:lang w:val="en-NZ"/>
        </w:rPr>
        <w:t xml:space="preserve">nearly all </w:t>
      </w:r>
      <w:r w:rsidR="00650505">
        <w:rPr>
          <w:szCs w:val="24"/>
          <w:lang w:val="en-NZ"/>
        </w:rPr>
        <w:t xml:space="preserve">cases arbitration </w:t>
      </w:r>
      <w:r w:rsidR="00234456">
        <w:rPr>
          <w:szCs w:val="24"/>
          <w:lang w:val="en-NZ"/>
        </w:rPr>
        <w:t xml:space="preserve">will </w:t>
      </w:r>
      <w:r w:rsidR="00835118">
        <w:rPr>
          <w:szCs w:val="24"/>
          <w:lang w:val="en-NZ"/>
        </w:rPr>
        <w:t xml:space="preserve">be an available option </w:t>
      </w:r>
      <w:r w:rsidR="00B567A1">
        <w:rPr>
          <w:szCs w:val="24"/>
          <w:lang w:val="en-NZ"/>
        </w:rPr>
        <w:t xml:space="preserve">if all interested parties </w:t>
      </w:r>
      <w:r w:rsidR="00650505">
        <w:rPr>
          <w:szCs w:val="24"/>
          <w:lang w:val="en-NZ"/>
        </w:rPr>
        <w:t>can be identified,</w:t>
      </w:r>
      <w:r w:rsidR="00B567A1">
        <w:rPr>
          <w:szCs w:val="24"/>
          <w:lang w:val="en-NZ"/>
        </w:rPr>
        <w:t xml:space="preserve"> have </w:t>
      </w:r>
      <w:r w:rsidR="00650505">
        <w:rPr>
          <w:szCs w:val="24"/>
          <w:lang w:val="en-NZ"/>
        </w:rPr>
        <w:t xml:space="preserve">contractual </w:t>
      </w:r>
      <w:r w:rsidR="00B567A1">
        <w:rPr>
          <w:szCs w:val="24"/>
          <w:lang w:val="en-NZ"/>
        </w:rPr>
        <w:t>capacity</w:t>
      </w:r>
      <w:r w:rsidR="00BF72F7">
        <w:rPr>
          <w:szCs w:val="24"/>
          <w:lang w:val="en-NZ"/>
        </w:rPr>
        <w:t>, and agree to</w:t>
      </w:r>
      <w:r w:rsidR="00240B23">
        <w:rPr>
          <w:szCs w:val="24"/>
          <w:lang w:val="en-NZ"/>
        </w:rPr>
        <w:t xml:space="preserve"> that course</w:t>
      </w:r>
      <w:r w:rsidR="00650505">
        <w:rPr>
          <w:szCs w:val="24"/>
          <w:lang w:val="en-NZ"/>
        </w:rPr>
        <w:t xml:space="preserve">. </w:t>
      </w:r>
    </w:p>
    <w:p w:rsidR="00C33733" w:rsidRDefault="00DE067A" w:rsidP="006E6346">
      <w:pPr>
        <w:rPr>
          <w:lang w:val="en-NZ"/>
        </w:rPr>
      </w:pPr>
      <w:r>
        <w:rPr>
          <w:lang w:val="en-NZ"/>
        </w:rPr>
        <w:t xml:space="preserve">To examine those questions </w:t>
      </w:r>
      <w:r w:rsidR="00234456">
        <w:rPr>
          <w:lang w:val="en-NZ"/>
        </w:rPr>
        <w:t>more closely</w:t>
      </w:r>
      <w:r w:rsidR="00B65BA2">
        <w:rPr>
          <w:lang w:val="en-NZ"/>
        </w:rPr>
        <w:t>,</w:t>
      </w:r>
      <w:r w:rsidR="00234456">
        <w:rPr>
          <w:lang w:val="en-NZ"/>
        </w:rPr>
        <w:t xml:space="preserve"> trust </w:t>
      </w:r>
      <w:r w:rsidR="00B64F22">
        <w:rPr>
          <w:lang w:val="en-NZ"/>
        </w:rPr>
        <w:t xml:space="preserve">disputes </w:t>
      </w:r>
      <w:r w:rsidR="000974FD">
        <w:rPr>
          <w:lang w:val="en-NZ"/>
        </w:rPr>
        <w:t xml:space="preserve">can </w:t>
      </w:r>
      <w:r>
        <w:rPr>
          <w:lang w:val="en-NZ"/>
        </w:rPr>
        <w:t xml:space="preserve">be divided </w:t>
      </w:r>
      <w:r w:rsidR="00B64F22">
        <w:rPr>
          <w:lang w:val="en-NZ"/>
        </w:rPr>
        <w:t>into three categories:</w:t>
      </w:r>
    </w:p>
    <w:p w:rsidR="00B64F22" w:rsidRDefault="00B64F22" w:rsidP="00B64F22">
      <w:pPr>
        <w:pStyle w:val="ListParagraph"/>
        <w:numPr>
          <w:ilvl w:val="0"/>
          <w:numId w:val="8"/>
        </w:numPr>
        <w:rPr>
          <w:lang w:val="en-NZ"/>
        </w:rPr>
      </w:pPr>
      <w:r w:rsidRPr="00B64F22">
        <w:rPr>
          <w:lang w:val="en-NZ"/>
        </w:rPr>
        <w:t xml:space="preserve">Disputes </w:t>
      </w:r>
      <w:r w:rsidR="00B65BA2">
        <w:rPr>
          <w:lang w:val="en-NZ"/>
        </w:rPr>
        <w:t xml:space="preserve">where trusts indirectly affect </w:t>
      </w:r>
      <w:r w:rsidRPr="00B64F22">
        <w:rPr>
          <w:lang w:val="en-NZ"/>
        </w:rPr>
        <w:t xml:space="preserve">the </w:t>
      </w:r>
      <w:r w:rsidR="00DE067A">
        <w:rPr>
          <w:lang w:val="en-NZ"/>
        </w:rPr>
        <w:t xml:space="preserve">property </w:t>
      </w:r>
      <w:r w:rsidRPr="00B64F22">
        <w:rPr>
          <w:lang w:val="en-NZ"/>
        </w:rPr>
        <w:t xml:space="preserve">rights of the spouses in their capacity as spouses </w:t>
      </w:r>
      <w:r>
        <w:rPr>
          <w:lang w:val="en-NZ"/>
        </w:rPr>
        <w:t>(“inter-spouse disputes)</w:t>
      </w:r>
      <w:r w:rsidR="00DE067A">
        <w:rPr>
          <w:lang w:val="en-NZ"/>
        </w:rPr>
        <w:t>;</w:t>
      </w:r>
    </w:p>
    <w:p w:rsidR="00234456" w:rsidRDefault="00234456" w:rsidP="00234456">
      <w:pPr>
        <w:pStyle w:val="ListParagraph"/>
        <w:rPr>
          <w:lang w:val="en-NZ"/>
        </w:rPr>
      </w:pPr>
    </w:p>
    <w:p w:rsidR="00B64F22" w:rsidRDefault="00B64F22" w:rsidP="00B64F22">
      <w:pPr>
        <w:pStyle w:val="ListParagraph"/>
        <w:numPr>
          <w:ilvl w:val="0"/>
          <w:numId w:val="8"/>
        </w:numPr>
        <w:rPr>
          <w:lang w:val="en-NZ"/>
        </w:rPr>
      </w:pPr>
      <w:r>
        <w:rPr>
          <w:lang w:val="en-NZ"/>
        </w:rPr>
        <w:t>Disputes which could result in an order affecting the trust itself</w:t>
      </w:r>
      <w:r w:rsidR="00DE067A">
        <w:rPr>
          <w:lang w:val="en-NZ"/>
        </w:rPr>
        <w:t xml:space="preserve">, </w:t>
      </w:r>
      <w:r>
        <w:rPr>
          <w:lang w:val="en-NZ"/>
        </w:rPr>
        <w:t>therefore requir</w:t>
      </w:r>
      <w:r w:rsidR="00DE067A">
        <w:rPr>
          <w:lang w:val="en-NZ"/>
        </w:rPr>
        <w:t>ing</w:t>
      </w:r>
      <w:r>
        <w:rPr>
          <w:lang w:val="en-NZ"/>
        </w:rPr>
        <w:t xml:space="preserve"> the inclusion of the trustees as part</w:t>
      </w:r>
      <w:r w:rsidR="00234456">
        <w:rPr>
          <w:lang w:val="en-NZ"/>
        </w:rPr>
        <w:t>ies</w:t>
      </w:r>
      <w:r>
        <w:rPr>
          <w:lang w:val="en-NZ"/>
        </w:rPr>
        <w:t xml:space="preserve"> (</w:t>
      </w:r>
      <w:r w:rsidR="001F1DD2">
        <w:rPr>
          <w:lang w:val="en-NZ"/>
        </w:rPr>
        <w:t>“spouse-trustee disputes”)</w:t>
      </w:r>
      <w:r w:rsidR="00DE067A">
        <w:rPr>
          <w:lang w:val="en-NZ"/>
        </w:rPr>
        <w:t>; and</w:t>
      </w:r>
    </w:p>
    <w:p w:rsidR="00234456" w:rsidRPr="00234456" w:rsidRDefault="00234456" w:rsidP="00234456">
      <w:pPr>
        <w:pStyle w:val="ListParagraph"/>
        <w:rPr>
          <w:lang w:val="en-NZ"/>
        </w:rPr>
      </w:pPr>
    </w:p>
    <w:p w:rsidR="001F1DD2" w:rsidRDefault="001F1DD2" w:rsidP="00B64F22">
      <w:pPr>
        <w:pStyle w:val="ListParagraph"/>
        <w:numPr>
          <w:ilvl w:val="0"/>
          <w:numId w:val="8"/>
        </w:numPr>
        <w:rPr>
          <w:lang w:val="en-NZ"/>
        </w:rPr>
      </w:pPr>
      <w:r>
        <w:rPr>
          <w:lang w:val="en-NZ"/>
        </w:rPr>
        <w:t xml:space="preserve">Disputes </w:t>
      </w:r>
      <w:r w:rsidR="00FD534F" w:rsidRPr="00D14842">
        <w:rPr>
          <w:lang w:val="en-NZ"/>
        </w:rPr>
        <w:t>in which</w:t>
      </w:r>
      <w:r w:rsidR="000974FD">
        <w:rPr>
          <w:lang w:val="en-NZ"/>
        </w:rPr>
        <w:t xml:space="preserve"> there are doubts over jurisdiction due to </w:t>
      </w:r>
      <w:r w:rsidR="00FD534F" w:rsidRPr="00D14842">
        <w:rPr>
          <w:lang w:val="en-NZ"/>
        </w:rPr>
        <w:t xml:space="preserve">the </w:t>
      </w:r>
      <w:r w:rsidR="00240B23">
        <w:rPr>
          <w:lang w:val="en-NZ"/>
        </w:rPr>
        <w:t xml:space="preserve">need for separate representation for children or the association with </w:t>
      </w:r>
      <w:r w:rsidR="000974FD">
        <w:rPr>
          <w:lang w:val="en-NZ"/>
        </w:rPr>
        <w:t xml:space="preserve">dissolution of marriage </w:t>
      </w:r>
      <w:r w:rsidR="00FD534F">
        <w:rPr>
          <w:lang w:val="en-NZ"/>
        </w:rPr>
        <w:t>(“</w:t>
      </w:r>
      <w:r w:rsidR="00240B23">
        <w:rPr>
          <w:lang w:val="en-NZ"/>
        </w:rPr>
        <w:t xml:space="preserve">disputes where </w:t>
      </w:r>
      <w:r w:rsidR="000974FD">
        <w:rPr>
          <w:lang w:val="en-NZ"/>
        </w:rPr>
        <w:t>jurisdiction</w:t>
      </w:r>
      <w:r w:rsidR="00240B23">
        <w:rPr>
          <w:lang w:val="en-NZ"/>
        </w:rPr>
        <w:t xml:space="preserve"> is doubtful</w:t>
      </w:r>
      <w:r w:rsidR="00FD534F">
        <w:rPr>
          <w:lang w:val="en-NZ"/>
        </w:rPr>
        <w:t xml:space="preserve">”).  </w:t>
      </w:r>
      <w:r w:rsidR="00FD534F" w:rsidRPr="00D14842">
        <w:rPr>
          <w:lang w:val="en-NZ"/>
        </w:rPr>
        <w:t xml:space="preserve">  </w:t>
      </w:r>
    </w:p>
    <w:p w:rsidR="00650505" w:rsidRPr="00B64F22" w:rsidRDefault="00650505" w:rsidP="00650505">
      <w:pPr>
        <w:rPr>
          <w:lang w:val="en-NZ"/>
        </w:rPr>
      </w:pPr>
      <w:r>
        <w:rPr>
          <w:lang w:val="en-NZ"/>
        </w:rPr>
        <w:t xml:space="preserve">These will be </w:t>
      </w:r>
      <w:r w:rsidR="00BF72F7">
        <w:rPr>
          <w:lang w:val="en-NZ"/>
        </w:rPr>
        <w:t xml:space="preserve">considered </w:t>
      </w:r>
      <w:r>
        <w:rPr>
          <w:lang w:val="en-NZ"/>
        </w:rPr>
        <w:t xml:space="preserve">in turn. </w:t>
      </w:r>
    </w:p>
    <w:p w:rsidR="002D2097" w:rsidRPr="00D14842" w:rsidRDefault="005D4EA6" w:rsidP="00DE067A">
      <w:pPr>
        <w:pStyle w:val="Heading1"/>
        <w:numPr>
          <w:ilvl w:val="0"/>
          <w:numId w:val="14"/>
        </w:numPr>
        <w:rPr>
          <w:rFonts w:ascii="Times New Roman" w:hAnsi="Times New Roman"/>
          <w:color w:val="auto"/>
          <w:sz w:val="24"/>
          <w:szCs w:val="24"/>
          <w:lang w:val="en-NZ"/>
        </w:rPr>
      </w:pPr>
      <w:r w:rsidRPr="00D14842">
        <w:rPr>
          <w:rFonts w:ascii="Times New Roman" w:hAnsi="Times New Roman"/>
          <w:color w:val="auto"/>
          <w:sz w:val="24"/>
          <w:szCs w:val="24"/>
          <w:lang w:val="en-NZ"/>
        </w:rPr>
        <w:t>Inter-spouse disputes</w:t>
      </w:r>
    </w:p>
    <w:p w:rsidR="00C33733" w:rsidRPr="00D14842" w:rsidRDefault="00C33733" w:rsidP="00D14842">
      <w:pPr>
        <w:rPr>
          <w:szCs w:val="24"/>
          <w:lang w:val="en-NZ"/>
        </w:rPr>
      </w:pPr>
      <w:r w:rsidRPr="00D14842">
        <w:rPr>
          <w:szCs w:val="24"/>
          <w:lang w:val="en-NZ"/>
        </w:rPr>
        <w:t xml:space="preserve">As between the spouses themselves, s 21A </w:t>
      </w:r>
      <w:r w:rsidR="00234456" w:rsidRPr="00D14842">
        <w:rPr>
          <w:szCs w:val="24"/>
          <w:lang w:val="en-NZ"/>
        </w:rPr>
        <w:t xml:space="preserve">of the Property (Relationships) Act 1976 (“the PRA”) </w:t>
      </w:r>
      <w:r w:rsidR="00BF72F7">
        <w:rPr>
          <w:szCs w:val="24"/>
          <w:lang w:val="en-NZ"/>
        </w:rPr>
        <w:t>provides that</w:t>
      </w:r>
      <w:r w:rsidRPr="00D14842">
        <w:rPr>
          <w:szCs w:val="24"/>
          <w:lang w:val="en-NZ"/>
        </w:rPr>
        <w:t>:</w:t>
      </w:r>
    </w:p>
    <w:p w:rsidR="00C33733" w:rsidRPr="00D14842" w:rsidRDefault="00C33733" w:rsidP="00D14842">
      <w:pPr>
        <w:ind w:left="720"/>
        <w:rPr>
          <w:b/>
          <w:szCs w:val="24"/>
          <w:lang w:val="en-NZ"/>
        </w:rPr>
      </w:pPr>
      <w:r w:rsidRPr="00D14842">
        <w:rPr>
          <w:b/>
          <w:szCs w:val="24"/>
          <w:lang w:val="en-NZ"/>
        </w:rPr>
        <w:t>21A Spouses or de facto partners may settle differences by agreement</w:t>
      </w:r>
    </w:p>
    <w:p w:rsidR="00C33733" w:rsidRPr="00D14842" w:rsidRDefault="00C33733" w:rsidP="00D14842">
      <w:pPr>
        <w:pStyle w:val="ListParagraph"/>
        <w:numPr>
          <w:ilvl w:val="0"/>
          <w:numId w:val="2"/>
        </w:numPr>
        <w:rPr>
          <w:szCs w:val="24"/>
          <w:lang w:val="en-NZ"/>
        </w:rPr>
      </w:pPr>
      <w:r w:rsidRPr="00D14842">
        <w:rPr>
          <w:szCs w:val="24"/>
          <w:lang w:val="en-NZ"/>
        </w:rPr>
        <w:t>A husband and wife or de facto partners may, for the purpose of settling any differences that have arisen between them concerning property owned by either or both of them, make any agreement they think fit with respect to the status, ownership, and division of that property.</w:t>
      </w:r>
    </w:p>
    <w:p w:rsidR="00BF72F7" w:rsidRDefault="00C33733" w:rsidP="00D14842">
      <w:pPr>
        <w:rPr>
          <w:szCs w:val="24"/>
          <w:lang w:val="en-NZ"/>
        </w:rPr>
      </w:pPr>
      <w:r w:rsidRPr="00D14842">
        <w:rPr>
          <w:szCs w:val="24"/>
          <w:lang w:val="en-NZ"/>
        </w:rPr>
        <w:t>It follows that in any situation in which the spouses could enter into a binding compromise by contract under s 21</w:t>
      </w:r>
      <w:r w:rsidR="00234456">
        <w:rPr>
          <w:szCs w:val="24"/>
          <w:lang w:val="en-NZ"/>
        </w:rPr>
        <w:t>A</w:t>
      </w:r>
      <w:r w:rsidRPr="00D14842">
        <w:rPr>
          <w:szCs w:val="24"/>
          <w:lang w:val="en-NZ"/>
        </w:rPr>
        <w:t xml:space="preserve"> without involving the trustees or beneficiaries, they will be able to validly submit the same issue to arbitration. </w:t>
      </w:r>
      <w:r w:rsidR="00D53367">
        <w:rPr>
          <w:szCs w:val="24"/>
          <w:lang w:val="en-NZ"/>
        </w:rPr>
        <w:t xml:space="preserve">Three of particular significance </w:t>
      </w:r>
      <w:proofErr w:type="gramStart"/>
      <w:r w:rsidR="00D53367">
        <w:rPr>
          <w:szCs w:val="24"/>
          <w:lang w:val="en-NZ"/>
        </w:rPr>
        <w:t>are</w:t>
      </w:r>
      <w:proofErr w:type="gramEnd"/>
      <w:r w:rsidR="00D53367">
        <w:rPr>
          <w:szCs w:val="24"/>
          <w:lang w:val="en-NZ"/>
        </w:rPr>
        <w:t xml:space="preserve"> (i) claims under s 44C of the PRA, (ii) bundle of rights claims and (iii) </w:t>
      </w:r>
      <w:r w:rsidR="00D716FD">
        <w:rPr>
          <w:szCs w:val="24"/>
          <w:lang w:val="en-NZ"/>
        </w:rPr>
        <w:t xml:space="preserve">claims to include </w:t>
      </w:r>
      <w:r w:rsidR="00D53367">
        <w:rPr>
          <w:szCs w:val="24"/>
          <w:lang w:val="en-NZ"/>
        </w:rPr>
        <w:t xml:space="preserve">the resources of a trust </w:t>
      </w:r>
      <w:r w:rsidR="00D716FD">
        <w:rPr>
          <w:szCs w:val="24"/>
          <w:lang w:val="en-NZ"/>
        </w:rPr>
        <w:t xml:space="preserve">as part of </w:t>
      </w:r>
      <w:r w:rsidR="00D53367">
        <w:rPr>
          <w:szCs w:val="24"/>
          <w:lang w:val="en-NZ"/>
        </w:rPr>
        <w:t xml:space="preserve">a spouse’s means. </w:t>
      </w:r>
    </w:p>
    <w:p w:rsidR="00D53367" w:rsidRDefault="00D53367" w:rsidP="00D14842">
      <w:pPr>
        <w:rPr>
          <w:i/>
          <w:szCs w:val="24"/>
          <w:lang w:val="en-NZ"/>
        </w:rPr>
      </w:pPr>
      <w:r w:rsidRPr="00D53367">
        <w:rPr>
          <w:i/>
          <w:szCs w:val="24"/>
          <w:lang w:val="en-NZ"/>
        </w:rPr>
        <w:t>(</w:t>
      </w:r>
      <w:proofErr w:type="gramStart"/>
      <w:r w:rsidRPr="00D53367">
        <w:rPr>
          <w:i/>
          <w:szCs w:val="24"/>
          <w:lang w:val="en-NZ"/>
        </w:rPr>
        <w:t>i</w:t>
      </w:r>
      <w:proofErr w:type="gramEnd"/>
      <w:r w:rsidRPr="00D53367">
        <w:rPr>
          <w:i/>
          <w:szCs w:val="24"/>
          <w:lang w:val="en-NZ"/>
        </w:rPr>
        <w:t>) Claims under s 44C of the PRA</w:t>
      </w:r>
    </w:p>
    <w:p w:rsidR="003022FF" w:rsidRPr="00D14842" w:rsidRDefault="00BF72F7" w:rsidP="00D14842">
      <w:pPr>
        <w:rPr>
          <w:lang w:val="en-NZ"/>
        </w:rPr>
      </w:pPr>
      <w:r>
        <w:rPr>
          <w:szCs w:val="24"/>
          <w:lang w:val="en-NZ"/>
        </w:rPr>
        <w:t>A common</w:t>
      </w:r>
      <w:r w:rsidR="003022FF" w:rsidRPr="00D14842">
        <w:rPr>
          <w:lang w:val="en-NZ"/>
        </w:rPr>
        <w:t xml:space="preserve"> </w:t>
      </w:r>
      <w:r>
        <w:rPr>
          <w:lang w:val="en-NZ"/>
        </w:rPr>
        <w:t xml:space="preserve">method of </w:t>
      </w:r>
      <w:r w:rsidR="00DE067A">
        <w:rPr>
          <w:lang w:val="en-NZ"/>
        </w:rPr>
        <w:t xml:space="preserve">unlocking </w:t>
      </w:r>
      <w:r w:rsidR="003022FF" w:rsidRPr="00D14842">
        <w:rPr>
          <w:lang w:val="en-NZ"/>
        </w:rPr>
        <w:t xml:space="preserve">the value of assets in a family trust </w:t>
      </w:r>
      <w:r>
        <w:rPr>
          <w:lang w:val="en-NZ"/>
        </w:rPr>
        <w:t xml:space="preserve">is to invoke </w:t>
      </w:r>
      <w:r w:rsidR="003022FF" w:rsidRPr="00D14842">
        <w:rPr>
          <w:lang w:val="en-NZ"/>
        </w:rPr>
        <w:t>s 44C of the PRA.  Section 44C</w:t>
      </w:r>
      <w:r>
        <w:rPr>
          <w:lang w:val="en-NZ"/>
        </w:rPr>
        <w:t xml:space="preserve"> </w:t>
      </w:r>
      <w:r w:rsidR="003022FF" w:rsidRPr="00D14842">
        <w:rPr>
          <w:lang w:val="en-NZ"/>
        </w:rPr>
        <w:t>permit</w:t>
      </w:r>
      <w:r>
        <w:rPr>
          <w:lang w:val="en-NZ"/>
        </w:rPr>
        <w:t>s</w:t>
      </w:r>
      <w:r w:rsidR="003022FF" w:rsidRPr="00D14842">
        <w:rPr>
          <w:lang w:val="en-NZ"/>
        </w:rPr>
        <w:t xml:space="preserve"> orders where relationship property has been transferred to a trust </w:t>
      </w:r>
      <w:r w:rsidR="00234456">
        <w:rPr>
          <w:lang w:val="en-NZ"/>
        </w:rPr>
        <w:t xml:space="preserve">during </w:t>
      </w:r>
      <w:r w:rsidR="003022FF" w:rsidRPr="00D14842">
        <w:rPr>
          <w:lang w:val="en-NZ"/>
        </w:rPr>
        <w:t xml:space="preserve">the relationship </w:t>
      </w:r>
      <w:r w:rsidR="00DE067A">
        <w:rPr>
          <w:lang w:val="en-NZ"/>
        </w:rPr>
        <w:t xml:space="preserve">in circumstances </w:t>
      </w:r>
      <w:r>
        <w:rPr>
          <w:lang w:val="en-NZ"/>
        </w:rPr>
        <w:t xml:space="preserve">where </w:t>
      </w:r>
      <w:r w:rsidR="003022FF" w:rsidRPr="00D14842">
        <w:rPr>
          <w:lang w:val="en-NZ"/>
        </w:rPr>
        <w:t xml:space="preserve">the disposition has the effect of defeating rights under the Act.  </w:t>
      </w:r>
      <w:r>
        <w:rPr>
          <w:lang w:val="en-NZ"/>
        </w:rPr>
        <w:t xml:space="preserve">The orders permitted under s </w:t>
      </w:r>
      <w:proofErr w:type="gramStart"/>
      <w:r>
        <w:rPr>
          <w:lang w:val="en-NZ"/>
        </w:rPr>
        <w:t>44C(</w:t>
      </w:r>
      <w:proofErr w:type="gramEnd"/>
      <w:r>
        <w:rPr>
          <w:lang w:val="en-NZ"/>
        </w:rPr>
        <w:t xml:space="preserve">2)(a) and (b) require </w:t>
      </w:r>
      <w:r w:rsidRPr="00D14842">
        <w:rPr>
          <w:lang w:val="en-NZ"/>
        </w:rPr>
        <w:t>one spouse to pay money to, or transfer property to, the other</w:t>
      </w:r>
      <w:r>
        <w:rPr>
          <w:lang w:val="en-NZ"/>
        </w:rPr>
        <w:t xml:space="preserve">. </w:t>
      </w:r>
      <w:r w:rsidRPr="00D14842">
        <w:rPr>
          <w:lang w:val="en-NZ"/>
        </w:rPr>
        <w:t xml:space="preserve"> </w:t>
      </w:r>
      <w:r w:rsidR="003022FF" w:rsidRPr="00D14842">
        <w:rPr>
          <w:lang w:val="en-NZ"/>
        </w:rPr>
        <w:t xml:space="preserve">If the relief sought is confined to an adjustment between the two </w:t>
      </w:r>
      <w:r w:rsidR="00A50DE9" w:rsidRPr="00D14842">
        <w:rPr>
          <w:lang w:val="en-NZ"/>
        </w:rPr>
        <w:t>spouses</w:t>
      </w:r>
      <w:r>
        <w:rPr>
          <w:lang w:val="en-NZ"/>
        </w:rPr>
        <w:t xml:space="preserve"> in that way</w:t>
      </w:r>
      <w:r w:rsidR="00DE067A">
        <w:rPr>
          <w:lang w:val="en-NZ"/>
        </w:rPr>
        <w:t>,</w:t>
      </w:r>
      <w:r>
        <w:rPr>
          <w:lang w:val="en-NZ"/>
        </w:rPr>
        <w:t xml:space="preserve"> </w:t>
      </w:r>
      <w:r w:rsidR="0001481F">
        <w:rPr>
          <w:lang w:val="en-NZ"/>
        </w:rPr>
        <w:t xml:space="preserve">their </w:t>
      </w:r>
      <w:r>
        <w:rPr>
          <w:lang w:val="en-NZ"/>
        </w:rPr>
        <w:t xml:space="preserve">agreement to arbitrate will suffice. </w:t>
      </w:r>
      <w:r w:rsidR="0001481F" w:rsidRPr="00D14842">
        <w:rPr>
          <w:lang w:val="en-NZ"/>
        </w:rPr>
        <w:t xml:space="preserve">There </w:t>
      </w:r>
      <w:r w:rsidR="0001481F">
        <w:rPr>
          <w:lang w:val="en-NZ"/>
        </w:rPr>
        <w:t xml:space="preserve">is </w:t>
      </w:r>
      <w:r w:rsidR="0001481F" w:rsidRPr="00D14842">
        <w:rPr>
          <w:lang w:val="en-NZ"/>
        </w:rPr>
        <w:t xml:space="preserve">no </w:t>
      </w:r>
      <w:r w:rsidR="0001481F">
        <w:rPr>
          <w:lang w:val="en-NZ"/>
        </w:rPr>
        <w:t xml:space="preserve">need </w:t>
      </w:r>
      <w:r w:rsidR="0001481F" w:rsidRPr="00D14842">
        <w:rPr>
          <w:lang w:val="en-NZ"/>
        </w:rPr>
        <w:t xml:space="preserve">to join the trustees as a party to the </w:t>
      </w:r>
      <w:r w:rsidR="0001481F">
        <w:rPr>
          <w:lang w:val="en-NZ"/>
        </w:rPr>
        <w:t xml:space="preserve">arbitration if </w:t>
      </w:r>
      <w:r>
        <w:rPr>
          <w:lang w:val="en-NZ"/>
        </w:rPr>
        <w:t xml:space="preserve">no order is sought </w:t>
      </w:r>
      <w:r w:rsidR="003022FF" w:rsidRPr="00D14842">
        <w:rPr>
          <w:lang w:val="en-NZ"/>
        </w:rPr>
        <w:t>against the</w:t>
      </w:r>
      <w:r w:rsidR="0001481F">
        <w:rPr>
          <w:lang w:val="en-NZ"/>
        </w:rPr>
        <w:t>m</w:t>
      </w:r>
      <w:r>
        <w:rPr>
          <w:lang w:val="en-NZ"/>
        </w:rPr>
        <w:t>.</w:t>
      </w:r>
      <w:r w:rsidR="003022FF" w:rsidRPr="00D14842">
        <w:rPr>
          <w:lang w:val="en-NZ"/>
        </w:rPr>
        <w:t xml:space="preserve"> </w:t>
      </w:r>
    </w:p>
    <w:p w:rsidR="00D53367" w:rsidRPr="00D53367" w:rsidRDefault="00D53367" w:rsidP="00D14842">
      <w:pPr>
        <w:rPr>
          <w:i/>
          <w:lang w:val="en-NZ"/>
        </w:rPr>
      </w:pPr>
      <w:r w:rsidRPr="00D53367">
        <w:rPr>
          <w:i/>
          <w:szCs w:val="24"/>
          <w:lang w:val="en-NZ"/>
        </w:rPr>
        <w:lastRenderedPageBreak/>
        <w:t>(ii) Bundle of rights claims</w:t>
      </w:r>
      <w:r w:rsidRPr="00D53367">
        <w:rPr>
          <w:i/>
          <w:lang w:val="en-NZ"/>
        </w:rPr>
        <w:t xml:space="preserve"> </w:t>
      </w:r>
    </w:p>
    <w:p w:rsidR="00426CFB" w:rsidRDefault="00EE0E8B" w:rsidP="00D14842">
      <w:pPr>
        <w:rPr>
          <w:lang w:val="en-NZ"/>
        </w:rPr>
      </w:pPr>
      <w:r w:rsidRPr="00D14842">
        <w:rPr>
          <w:lang w:val="en-NZ"/>
        </w:rPr>
        <w:t>The same is true of a “bundle of rights” claim</w:t>
      </w:r>
      <w:r w:rsidR="00234456">
        <w:rPr>
          <w:lang w:val="en-NZ"/>
        </w:rPr>
        <w:t xml:space="preserve">. </w:t>
      </w:r>
      <w:r w:rsidR="00234456" w:rsidRPr="00D14842">
        <w:rPr>
          <w:lang w:val="en-NZ"/>
        </w:rPr>
        <w:t xml:space="preserve">The </w:t>
      </w:r>
      <w:r w:rsidR="00DE067A">
        <w:rPr>
          <w:lang w:val="en-NZ"/>
        </w:rPr>
        <w:t xml:space="preserve">claim </w:t>
      </w:r>
      <w:r w:rsidR="00234456">
        <w:rPr>
          <w:lang w:val="en-NZ"/>
        </w:rPr>
        <w:t xml:space="preserve">here is </w:t>
      </w:r>
      <w:r w:rsidRPr="00D14842">
        <w:rPr>
          <w:lang w:val="en-NZ"/>
        </w:rPr>
        <w:t>that</w:t>
      </w:r>
      <w:r w:rsidR="00234456">
        <w:rPr>
          <w:lang w:val="en-NZ"/>
        </w:rPr>
        <w:t>,</w:t>
      </w:r>
      <w:r w:rsidRPr="00D14842">
        <w:rPr>
          <w:lang w:val="en-NZ"/>
        </w:rPr>
        <w:t xml:space="preserve"> viewed collectively, the rights and powers of one </w:t>
      </w:r>
      <w:r w:rsidR="00A50DE9" w:rsidRPr="00D14842">
        <w:rPr>
          <w:lang w:val="en-NZ"/>
        </w:rPr>
        <w:t>spouse</w:t>
      </w:r>
      <w:r w:rsidRPr="00D14842">
        <w:rPr>
          <w:lang w:val="en-NZ"/>
        </w:rPr>
        <w:t xml:space="preserve"> in relation to a trust </w:t>
      </w:r>
      <w:r w:rsidR="00234456">
        <w:rPr>
          <w:lang w:val="en-NZ"/>
        </w:rPr>
        <w:t xml:space="preserve">represent </w:t>
      </w:r>
      <w:r w:rsidRPr="00D14842">
        <w:rPr>
          <w:lang w:val="en-NZ"/>
        </w:rPr>
        <w:t xml:space="preserve">relationship property </w:t>
      </w:r>
      <w:r w:rsidR="00234456">
        <w:rPr>
          <w:lang w:val="en-NZ"/>
        </w:rPr>
        <w:t xml:space="preserve">which must </w:t>
      </w:r>
      <w:r w:rsidR="00DE067A">
        <w:rPr>
          <w:lang w:val="en-NZ"/>
        </w:rPr>
        <w:t xml:space="preserve">be shared with the other </w:t>
      </w:r>
      <w:r w:rsidR="00234456">
        <w:rPr>
          <w:lang w:val="en-NZ"/>
        </w:rPr>
        <w:t>spouse</w:t>
      </w:r>
      <w:r w:rsidRPr="00D14842">
        <w:rPr>
          <w:lang w:val="en-NZ"/>
        </w:rPr>
        <w:t>.</w:t>
      </w:r>
      <w:r w:rsidR="0001481F">
        <w:rPr>
          <w:rStyle w:val="FootnoteReference"/>
          <w:lang w:val="en-NZ"/>
        </w:rPr>
        <w:footnoteReference w:id="5"/>
      </w:r>
      <w:r w:rsidRPr="00D14842">
        <w:rPr>
          <w:lang w:val="en-NZ"/>
        </w:rPr>
        <w:t xml:space="preserve">  </w:t>
      </w:r>
    </w:p>
    <w:p w:rsidR="00234456" w:rsidRDefault="00EE0E8B" w:rsidP="00D14842">
      <w:pPr>
        <w:rPr>
          <w:lang w:val="en-NZ"/>
        </w:rPr>
      </w:pPr>
      <w:r w:rsidRPr="00D14842">
        <w:rPr>
          <w:lang w:val="en-NZ"/>
        </w:rPr>
        <w:t xml:space="preserve">Without entering into the controversy surrounding </w:t>
      </w:r>
      <w:r w:rsidR="00426CFB">
        <w:rPr>
          <w:lang w:val="en-NZ"/>
        </w:rPr>
        <w:t xml:space="preserve">the </w:t>
      </w:r>
      <w:r w:rsidR="00426CFB" w:rsidRPr="00D14842">
        <w:rPr>
          <w:lang w:val="en-NZ"/>
        </w:rPr>
        <w:t xml:space="preserve">“bundle of rights” </w:t>
      </w:r>
      <w:r w:rsidRPr="00D14842">
        <w:rPr>
          <w:lang w:val="en-NZ"/>
        </w:rPr>
        <w:t xml:space="preserve">doctrine, it is sufficient to note that the </w:t>
      </w:r>
      <w:r w:rsidR="00B65BA2">
        <w:rPr>
          <w:lang w:val="en-NZ"/>
        </w:rPr>
        <w:t xml:space="preserve">outcome </w:t>
      </w:r>
      <w:r w:rsidRPr="00D14842">
        <w:rPr>
          <w:lang w:val="en-NZ"/>
        </w:rPr>
        <w:t xml:space="preserve">envisaged is that the bundle of rights will be regarded as </w:t>
      </w:r>
      <w:r w:rsidR="00426CFB">
        <w:rPr>
          <w:lang w:val="en-NZ"/>
        </w:rPr>
        <w:t xml:space="preserve">an item of </w:t>
      </w:r>
      <w:r w:rsidRPr="00D14842">
        <w:rPr>
          <w:lang w:val="en-NZ"/>
        </w:rPr>
        <w:t>relationship property</w:t>
      </w:r>
      <w:r w:rsidR="00426CFB">
        <w:rPr>
          <w:lang w:val="en-NZ"/>
        </w:rPr>
        <w:t>. As relationship property</w:t>
      </w:r>
      <w:r w:rsidR="00B65BA2">
        <w:rPr>
          <w:lang w:val="en-NZ"/>
        </w:rPr>
        <w:t>,</w:t>
      </w:r>
      <w:r w:rsidR="00426CFB">
        <w:rPr>
          <w:lang w:val="en-NZ"/>
        </w:rPr>
        <w:t xml:space="preserve"> </w:t>
      </w:r>
      <w:r w:rsidRPr="00D14842">
        <w:rPr>
          <w:lang w:val="en-NZ"/>
        </w:rPr>
        <w:t>it form</w:t>
      </w:r>
      <w:r w:rsidR="00426CFB">
        <w:rPr>
          <w:lang w:val="en-NZ"/>
        </w:rPr>
        <w:t>s</w:t>
      </w:r>
      <w:r w:rsidRPr="00D14842">
        <w:rPr>
          <w:lang w:val="en-NZ"/>
        </w:rPr>
        <w:t xml:space="preserve"> part of the total assets to be shared between the </w:t>
      </w:r>
      <w:r w:rsidR="00A50DE9" w:rsidRPr="00D14842">
        <w:rPr>
          <w:lang w:val="en-NZ"/>
        </w:rPr>
        <w:t>spouses</w:t>
      </w:r>
      <w:r w:rsidRPr="00D14842">
        <w:rPr>
          <w:lang w:val="en-NZ"/>
        </w:rPr>
        <w:t xml:space="preserve">.  </w:t>
      </w:r>
    </w:p>
    <w:p w:rsidR="00EE0E8B" w:rsidRPr="00D14842" w:rsidRDefault="00B65BA2" w:rsidP="00D14842">
      <w:pPr>
        <w:rPr>
          <w:lang w:val="en-NZ"/>
        </w:rPr>
      </w:pPr>
      <w:r>
        <w:rPr>
          <w:lang w:val="en-NZ"/>
        </w:rPr>
        <w:t xml:space="preserve">In implementing the relationship property division </w:t>
      </w:r>
      <w:r w:rsidRPr="00D14842">
        <w:rPr>
          <w:lang w:val="en-NZ"/>
        </w:rPr>
        <w:t xml:space="preserve">the </w:t>
      </w:r>
      <w:r w:rsidR="00EE0E8B" w:rsidRPr="00D14842">
        <w:rPr>
          <w:lang w:val="en-NZ"/>
        </w:rPr>
        <w:t xml:space="preserve">value of the bundle of rights </w:t>
      </w:r>
      <w:r w:rsidR="00DE067A">
        <w:rPr>
          <w:lang w:val="en-NZ"/>
        </w:rPr>
        <w:t xml:space="preserve">is </w:t>
      </w:r>
      <w:r w:rsidR="00CD02C3">
        <w:rPr>
          <w:lang w:val="en-NZ"/>
        </w:rPr>
        <w:t xml:space="preserve">normally </w:t>
      </w:r>
      <w:r>
        <w:rPr>
          <w:lang w:val="en-NZ"/>
        </w:rPr>
        <w:t xml:space="preserve">allocated </w:t>
      </w:r>
      <w:r w:rsidR="00EE0E8B" w:rsidRPr="00D14842">
        <w:rPr>
          <w:lang w:val="en-NZ"/>
        </w:rPr>
        <w:t xml:space="preserve">to the </w:t>
      </w:r>
      <w:r w:rsidR="00A50DE9" w:rsidRPr="00D14842">
        <w:rPr>
          <w:lang w:val="en-NZ"/>
        </w:rPr>
        <w:t>spouse</w:t>
      </w:r>
      <w:r w:rsidR="00EE0E8B" w:rsidRPr="00D14842">
        <w:rPr>
          <w:lang w:val="en-NZ"/>
        </w:rPr>
        <w:t xml:space="preserve"> who </w:t>
      </w:r>
      <w:r w:rsidR="00CD02C3">
        <w:rPr>
          <w:lang w:val="en-NZ"/>
        </w:rPr>
        <w:t xml:space="preserve">already </w:t>
      </w:r>
      <w:r w:rsidR="00EE0E8B" w:rsidRPr="00D14842">
        <w:rPr>
          <w:lang w:val="en-NZ"/>
        </w:rPr>
        <w:t>enjoys those rights</w:t>
      </w:r>
      <w:r>
        <w:rPr>
          <w:lang w:val="en-NZ"/>
        </w:rPr>
        <w:t>. The remedy for the other spouse is</w:t>
      </w:r>
      <w:r w:rsidR="00234456">
        <w:rPr>
          <w:lang w:val="en-NZ"/>
        </w:rPr>
        <w:t xml:space="preserve"> </w:t>
      </w:r>
      <w:r w:rsidR="00CD02C3">
        <w:rPr>
          <w:lang w:val="en-NZ"/>
        </w:rPr>
        <w:t xml:space="preserve">a corresponding increase in </w:t>
      </w:r>
      <w:r>
        <w:rPr>
          <w:lang w:val="en-NZ"/>
        </w:rPr>
        <w:t xml:space="preserve">his or her </w:t>
      </w:r>
      <w:r w:rsidR="00142F2D">
        <w:rPr>
          <w:lang w:val="en-NZ"/>
        </w:rPr>
        <w:t xml:space="preserve">share </w:t>
      </w:r>
      <w:r>
        <w:rPr>
          <w:lang w:val="en-NZ"/>
        </w:rPr>
        <w:t xml:space="preserve">of </w:t>
      </w:r>
      <w:r w:rsidR="00142F2D">
        <w:rPr>
          <w:lang w:val="en-NZ"/>
        </w:rPr>
        <w:t xml:space="preserve">the </w:t>
      </w:r>
      <w:r w:rsidR="00DE067A">
        <w:rPr>
          <w:lang w:val="en-NZ"/>
        </w:rPr>
        <w:t xml:space="preserve">remainder </w:t>
      </w:r>
      <w:r w:rsidR="00142F2D">
        <w:rPr>
          <w:lang w:val="en-NZ"/>
        </w:rPr>
        <w:t xml:space="preserve">of the relationship property. </w:t>
      </w:r>
      <w:r w:rsidR="00415CBA" w:rsidRPr="00D14842">
        <w:rPr>
          <w:lang w:val="en-NZ"/>
        </w:rPr>
        <w:t xml:space="preserve">Even if all or part of the bundle of rights </w:t>
      </w:r>
      <w:r w:rsidR="00BD56E6">
        <w:rPr>
          <w:lang w:val="en-NZ"/>
        </w:rPr>
        <w:t xml:space="preserve">is </w:t>
      </w:r>
      <w:r w:rsidR="00415CBA" w:rsidRPr="00D14842">
        <w:rPr>
          <w:lang w:val="en-NZ"/>
        </w:rPr>
        <w:t xml:space="preserve">vested in the claimant, there is no suggestion that the </w:t>
      </w:r>
      <w:r w:rsidR="00426CFB">
        <w:rPr>
          <w:lang w:val="en-NZ"/>
        </w:rPr>
        <w:t>interests of</w:t>
      </w:r>
      <w:r w:rsidR="00415CBA" w:rsidRPr="00D14842">
        <w:rPr>
          <w:lang w:val="en-NZ"/>
        </w:rPr>
        <w:t xml:space="preserve"> the </w:t>
      </w:r>
      <w:r w:rsidR="00A50DE9" w:rsidRPr="00D14842">
        <w:rPr>
          <w:lang w:val="en-NZ"/>
        </w:rPr>
        <w:t>trustee</w:t>
      </w:r>
      <w:r w:rsidR="00415CBA" w:rsidRPr="00D14842">
        <w:rPr>
          <w:lang w:val="en-NZ"/>
        </w:rPr>
        <w:t xml:space="preserve">s and beneficiaries </w:t>
      </w:r>
      <w:r>
        <w:rPr>
          <w:lang w:val="en-NZ"/>
        </w:rPr>
        <w:t xml:space="preserve">will be </w:t>
      </w:r>
      <w:r w:rsidR="00415CBA" w:rsidRPr="00D14842">
        <w:rPr>
          <w:lang w:val="en-NZ"/>
        </w:rPr>
        <w:t>affected</w:t>
      </w:r>
      <w:r w:rsidR="00BD56E6">
        <w:rPr>
          <w:lang w:val="en-NZ"/>
        </w:rPr>
        <w:t>.</w:t>
      </w:r>
      <w:r w:rsidR="00DE067A">
        <w:rPr>
          <w:lang w:val="en-NZ"/>
        </w:rPr>
        <w:t xml:space="preserve"> As the </w:t>
      </w:r>
      <w:r w:rsidR="00415CBA" w:rsidRPr="00D14842">
        <w:rPr>
          <w:lang w:val="en-NZ"/>
        </w:rPr>
        <w:t xml:space="preserve">pursuit of a bundle of rights claim </w:t>
      </w:r>
      <w:r w:rsidR="00DE067A">
        <w:rPr>
          <w:lang w:val="en-NZ"/>
        </w:rPr>
        <w:t>will not impact on the trust itself</w:t>
      </w:r>
      <w:r w:rsidR="00D716FD">
        <w:rPr>
          <w:lang w:val="en-NZ"/>
        </w:rPr>
        <w:t>,</w:t>
      </w:r>
      <w:r w:rsidR="00DE067A">
        <w:rPr>
          <w:lang w:val="en-NZ"/>
        </w:rPr>
        <w:t xml:space="preserve"> </w:t>
      </w:r>
      <w:r w:rsidR="00142F2D">
        <w:rPr>
          <w:lang w:val="en-NZ"/>
        </w:rPr>
        <w:t xml:space="preserve">the </w:t>
      </w:r>
      <w:r w:rsidR="00A50DE9" w:rsidRPr="00D14842">
        <w:rPr>
          <w:lang w:val="en-NZ"/>
        </w:rPr>
        <w:t>trustee</w:t>
      </w:r>
      <w:r w:rsidR="00415CBA" w:rsidRPr="00D14842">
        <w:rPr>
          <w:lang w:val="en-NZ"/>
        </w:rPr>
        <w:t xml:space="preserve">s </w:t>
      </w:r>
      <w:r w:rsidR="00DE067A">
        <w:rPr>
          <w:lang w:val="en-NZ"/>
        </w:rPr>
        <w:t xml:space="preserve">do not </w:t>
      </w:r>
      <w:r w:rsidR="00142F2D">
        <w:rPr>
          <w:lang w:val="en-NZ"/>
        </w:rPr>
        <w:t xml:space="preserve">need to be joined </w:t>
      </w:r>
      <w:r w:rsidR="00415CBA" w:rsidRPr="00D14842">
        <w:rPr>
          <w:lang w:val="en-NZ"/>
        </w:rPr>
        <w:t xml:space="preserve">in </w:t>
      </w:r>
      <w:r w:rsidR="00DE067A">
        <w:rPr>
          <w:lang w:val="en-NZ"/>
        </w:rPr>
        <w:t xml:space="preserve">any </w:t>
      </w:r>
      <w:r>
        <w:rPr>
          <w:lang w:val="en-NZ"/>
        </w:rPr>
        <w:t xml:space="preserve">such </w:t>
      </w:r>
      <w:r w:rsidR="00415CBA" w:rsidRPr="00D14842">
        <w:rPr>
          <w:lang w:val="en-NZ"/>
        </w:rPr>
        <w:t>arbitration</w:t>
      </w:r>
      <w:r>
        <w:rPr>
          <w:lang w:val="en-NZ"/>
        </w:rPr>
        <w:t>.</w:t>
      </w:r>
      <w:r w:rsidR="00415CBA" w:rsidRPr="00D14842">
        <w:rPr>
          <w:lang w:val="en-NZ"/>
        </w:rPr>
        <w:t xml:space="preserve"> </w:t>
      </w:r>
    </w:p>
    <w:p w:rsidR="00D53367" w:rsidRPr="00D53367" w:rsidRDefault="00D53367" w:rsidP="00D14842">
      <w:pPr>
        <w:rPr>
          <w:i/>
          <w:lang w:val="en-NZ"/>
        </w:rPr>
      </w:pPr>
      <w:r w:rsidRPr="00D53367">
        <w:rPr>
          <w:i/>
          <w:szCs w:val="24"/>
          <w:lang w:val="en-NZ"/>
        </w:rPr>
        <w:t xml:space="preserve">(iii) </w:t>
      </w:r>
      <w:r w:rsidR="00D716FD" w:rsidRPr="00D716FD">
        <w:rPr>
          <w:i/>
          <w:szCs w:val="24"/>
          <w:lang w:val="en-NZ"/>
        </w:rPr>
        <w:t>Claims to include the resources of a trust as part of a spouse’s means</w:t>
      </w:r>
      <w:r w:rsidR="00D716FD" w:rsidRPr="00D53367">
        <w:rPr>
          <w:i/>
          <w:szCs w:val="24"/>
          <w:lang w:val="en-NZ"/>
        </w:rPr>
        <w:t xml:space="preserve"> </w:t>
      </w:r>
    </w:p>
    <w:p w:rsidR="007500D8" w:rsidRDefault="0035182E" w:rsidP="00D14842">
      <w:pPr>
        <w:rPr>
          <w:lang w:val="en-NZ"/>
        </w:rPr>
      </w:pPr>
      <w:r>
        <w:rPr>
          <w:lang w:val="en-NZ"/>
        </w:rPr>
        <w:t xml:space="preserve">There is an </w:t>
      </w:r>
      <w:r w:rsidR="000A2A39">
        <w:rPr>
          <w:lang w:val="en-NZ"/>
        </w:rPr>
        <w:t xml:space="preserve">indirect </w:t>
      </w:r>
      <w:r>
        <w:rPr>
          <w:lang w:val="en-NZ"/>
        </w:rPr>
        <w:t xml:space="preserve">means of accessing </w:t>
      </w:r>
      <w:r w:rsidR="00BD56E6">
        <w:rPr>
          <w:lang w:val="en-NZ"/>
        </w:rPr>
        <w:t xml:space="preserve">trust </w:t>
      </w:r>
      <w:r>
        <w:rPr>
          <w:lang w:val="en-NZ"/>
        </w:rPr>
        <w:t xml:space="preserve">resources </w:t>
      </w:r>
      <w:r w:rsidR="00BD56E6">
        <w:rPr>
          <w:lang w:val="en-NZ"/>
        </w:rPr>
        <w:t xml:space="preserve">whenever </w:t>
      </w:r>
      <w:r w:rsidR="00142F2D">
        <w:rPr>
          <w:lang w:val="en-NZ"/>
        </w:rPr>
        <w:t xml:space="preserve">the exercise of a judicial discretion is influenced by </w:t>
      </w:r>
      <w:r w:rsidR="00D53367">
        <w:rPr>
          <w:lang w:val="en-NZ"/>
        </w:rPr>
        <w:t xml:space="preserve">a comparison between </w:t>
      </w:r>
      <w:r w:rsidR="00142F2D">
        <w:rPr>
          <w:lang w:val="en-NZ"/>
        </w:rPr>
        <w:t xml:space="preserve">the </w:t>
      </w:r>
      <w:r w:rsidR="00D53367">
        <w:rPr>
          <w:lang w:val="en-NZ"/>
        </w:rPr>
        <w:t xml:space="preserve">respective </w:t>
      </w:r>
      <w:r w:rsidR="00142F2D">
        <w:rPr>
          <w:lang w:val="en-NZ"/>
        </w:rPr>
        <w:t xml:space="preserve">means of the </w:t>
      </w:r>
      <w:r w:rsidR="00D53367">
        <w:rPr>
          <w:lang w:val="en-NZ"/>
        </w:rPr>
        <w:t xml:space="preserve">two </w:t>
      </w:r>
      <w:r w:rsidR="00142F2D">
        <w:rPr>
          <w:lang w:val="en-NZ"/>
        </w:rPr>
        <w:t>spouses</w:t>
      </w:r>
      <w:r w:rsidR="00BD56E6">
        <w:rPr>
          <w:lang w:val="en-NZ"/>
        </w:rPr>
        <w:t>. In that situation</w:t>
      </w:r>
      <w:r w:rsidR="00142F2D">
        <w:rPr>
          <w:lang w:val="en-NZ"/>
        </w:rPr>
        <w:t xml:space="preserve"> the Court can have regard to the benefits which </w:t>
      </w:r>
      <w:r w:rsidR="00D53367">
        <w:rPr>
          <w:lang w:val="en-NZ"/>
        </w:rPr>
        <w:t xml:space="preserve">one </w:t>
      </w:r>
      <w:r w:rsidR="00142F2D">
        <w:rPr>
          <w:lang w:val="en-NZ"/>
        </w:rPr>
        <w:t xml:space="preserve">spouse is likely </w:t>
      </w:r>
      <w:r w:rsidR="00FC453A">
        <w:rPr>
          <w:lang w:val="en-NZ"/>
        </w:rPr>
        <w:t xml:space="preserve">to enjoy from a trust. This is particularly important </w:t>
      </w:r>
      <w:r w:rsidR="00BD56E6">
        <w:rPr>
          <w:lang w:val="en-NZ"/>
        </w:rPr>
        <w:t xml:space="preserve">where </w:t>
      </w:r>
      <w:r w:rsidR="00D53367">
        <w:rPr>
          <w:lang w:val="en-NZ"/>
        </w:rPr>
        <w:t xml:space="preserve">that </w:t>
      </w:r>
      <w:r w:rsidR="00FC453A">
        <w:rPr>
          <w:lang w:val="en-NZ"/>
        </w:rPr>
        <w:t xml:space="preserve">spouse has de facto control or influence over the </w:t>
      </w:r>
      <w:r w:rsidR="00DE067A">
        <w:rPr>
          <w:lang w:val="en-NZ"/>
        </w:rPr>
        <w:t xml:space="preserve">fate of </w:t>
      </w:r>
      <w:r w:rsidR="00B65BA2">
        <w:rPr>
          <w:lang w:val="en-NZ"/>
        </w:rPr>
        <w:t xml:space="preserve">a </w:t>
      </w:r>
      <w:r w:rsidR="00DE067A">
        <w:rPr>
          <w:lang w:val="en-NZ"/>
        </w:rPr>
        <w:t>trust</w:t>
      </w:r>
      <w:r w:rsidR="007500D8" w:rsidRPr="00D14842">
        <w:rPr>
          <w:lang w:val="en-NZ"/>
        </w:rPr>
        <w:t>.</w:t>
      </w:r>
      <w:r w:rsidR="00B65BA2">
        <w:rPr>
          <w:lang w:val="en-NZ"/>
        </w:rPr>
        <w:t xml:space="preserve"> It is a technique frequently employed in the United Kingdom.</w:t>
      </w:r>
      <w:r w:rsidR="00D53367">
        <w:rPr>
          <w:rStyle w:val="FootnoteReference"/>
          <w:lang w:val="en-NZ"/>
        </w:rPr>
        <w:footnoteReference w:id="6"/>
      </w:r>
      <w:r w:rsidR="00FC453A">
        <w:rPr>
          <w:lang w:val="en-NZ"/>
        </w:rPr>
        <w:t xml:space="preserve"> </w:t>
      </w:r>
    </w:p>
    <w:p w:rsidR="000A2A39" w:rsidRDefault="00FC453A" w:rsidP="00D14842">
      <w:pPr>
        <w:rPr>
          <w:lang w:val="en-NZ"/>
        </w:rPr>
      </w:pPr>
      <w:r>
        <w:rPr>
          <w:lang w:val="en-NZ"/>
        </w:rPr>
        <w:t xml:space="preserve">Spousal maintenance is </w:t>
      </w:r>
      <w:r w:rsidR="007500D8">
        <w:rPr>
          <w:lang w:val="en-NZ"/>
        </w:rPr>
        <w:t xml:space="preserve">the most </w:t>
      </w:r>
      <w:r>
        <w:rPr>
          <w:lang w:val="en-NZ"/>
        </w:rPr>
        <w:t>obvious</w:t>
      </w:r>
      <w:r w:rsidR="007500D8">
        <w:rPr>
          <w:lang w:val="en-NZ"/>
        </w:rPr>
        <w:t xml:space="preserve"> </w:t>
      </w:r>
      <w:r w:rsidR="00D53367">
        <w:rPr>
          <w:lang w:val="en-NZ"/>
        </w:rPr>
        <w:t>jurisdiction</w:t>
      </w:r>
      <w:r w:rsidR="00ED6E91">
        <w:rPr>
          <w:lang w:val="en-NZ"/>
        </w:rPr>
        <w:t xml:space="preserve"> </w:t>
      </w:r>
      <w:r w:rsidR="007500D8">
        <w:rPr>
          <w:lang w:val="en-NZ"/>
        </w:rPr>
        <w:t xml:space="preserve">in which </w:t>
      </w:r>
      <w:r w:rsidR="00D716FD">
        <w:rPr>
          <w:lang w:val="en-NZ"/>
        </w:rPr>
        <w:t xml:space="preserve">this principle can be invoked. </w:t>
      </w:r>
      <w:r w:rsidR="00DE067A" w:rsidRPr="00D14842">
        <w:rPr>
          <w:lang w:val="en-NZ"/>
        </w:rPr>
        <w:t xml:space="preserve">The </w:t>
      </w:r>
      <w:r w:rsidR="00ED6E91" w:rsidRPr="00D14842">
        <w:rPr>
          <w:lang w:val="en-NZ"/>
        </w:rPr>
        <w:t xml:space="preserve">means of each spouse </w:t>
      </w:r>
      <w:r w:rsidR="00ED6E91">
        <w:rPr>
          <w:lang w:val="en-NZ"/>
        </w:rPr>
        <w:t xml:space="preserve">must be taken into account under s </w:t>
      </w:r>
      <w:r w:rsidR="00ED6E91" w:rsidRPr="00D14842">
        <w:rPr>
          <w:lang w:val="en-NZ"/>
        </w:rPr>
        <w:t>65(2</w:t>
      </w:r>
      <w:proofErr w:type="gramStart"/>
      <w:r w:rsidR="00ED6E91" w:rsidRPr="00D14842">
        <w:rPr>
          <w:lang w:val="en-NZ"/>
        </w:rPr>
        <w:t>)(</w:t>
      </w:r>
      <w:proofErr w:type="gramEnd"/>
      <w:r w:rsidR="00ED6E91" w:rsidRPr="00D14842">
        <w:rPr>
          <w:lang w:val="en-NZ"/>
        </w:rPr>
        <w:t>a)</w:t>
      </w:r>
      <w:r w:rsidR="00ED6E91">
        <w:rPr>
          <w:lang w:val="en-NZ"/>
        </w:rPr>
        <w:t xml:space="preserve"> of the Family Proceedings Act 1980</w:t>
      </w:r>
      <w:r w:rsidR="007500D8" w:rsidRPr="00D14842">
        <w:rPr>
          <w:lang w:val="en-NZ"/>
        </w:rPr>
        <w:t>.</w:t>
      </w:r>
      <w:r w:rsidR="007500D8">
        <w:rPr>
          <w:lang w:val="en-NZ"/>
        </w:rPr>
        <w:t xml:space="preserve"> Importantly, s </w:t>
      </w:r>
      <w:r w:rsidR="007500D8" w:rsidRPr="00D14842">
        <w:rPr>
          <w:lang w:val="en-NZ"/>
        </w:rPr>
        <w:t>69(1</w:t>
      </w:r>
      <w:proofErr w:type="gramStart"/>
      <w:r w:rsidR="007500D8" w:rsidRPr="00D14842">
        <w:rPr>
          <w:lang w:val="en-NZ"/>
        </w:rPr>
        <w:t>)(</w:t>
      </w:r>
      <w:proofErr w:type="gramEnd"/>
      <w:r w:rsidR="007500D8" w:rsidRPr="00D14842">
        <w:rPr>
          <w:lang w:val="en-NZ"/>
        </w:rPr>
        <w:t>b) and (c)</w:t>
      </w:r>
      <w:r w:rsidR="00ED6E91">
        <w:rPr>
          <w:lang w:val="en-NZ"/>
        </w:rPr>
        <w:t>,</w:t>
      </w:r>
      <w:r w:rsidR="007500D8" w:rsidRPr="00D14842">
        <w:rPr>
          <w:lang w:val="en-NZ"/>
        </w:rPr>
        <w:t xml:space="preserve"> combined with s 70(2)(b)</w:t>
      </w:r>
      <w:r w:rsidR="008B3D9A">
        <w:rPr>
          <w:lang w:val="en-NZ"/>
        </w:rPr>
        <w:t>,</w:t>
      </w:r>
      <w:r w:rsidR="007500D8" w:rsidRPr="00D14842">
        <w:rPr>
          <w:lang w:val="en-NZ"/>
        </w:rPr>
        <w:t xml:space="preserve"> permits the making of an order to pay a lump sum towards the past or future maintenance of </w:t>
      </w:r>
      <w:r w:rsidR="008B3D9A">
        <w:rPr>
          <w:lang w:val="en-NZ"/>
        </w:rPr>
        <w:t xml:space="preserve">a </w:t>
      </w:r>
      <w:r w:rsidR="007500D8" w:rsidRPr="00D14842">
        <w:rPr>
          <w:lang w:val="en-NZ"/>
        </w:rPr>
        <w:t xml:space="preserve">spouse.  </w:t>
      </w:r>
      <w:r w:rsidR="000A2A39">
        <w:rPr>
          <w:lang w:val="en-NZ"/>
        </w:rPr>
        <w:t>Trusts aside, it is questionable whether in this country</w:t>
      </w:r>
      <w:r w:rsidR="00FC6201">
        <w:rPr>
          <w:rStyle w:val="FootnoteReference"/>
          <w:lang w:val="en-NZ"/>
        </w:rPr>
        <w:footnoteReference w:id="7"/>
      </w:r>
      <w:r w:rsidR="000A2A39">
        <w:rPr>
          <w:lang w:val="en-NZ"/>
        </w:rPr>
        <w:t xml:space="preserve"> the power to order one spouse to pay the other a lump sum </w:t>
      </w:r>
      <w:r w:rsidR="00FC6201">
        <w:rPr>
          <w:lang w:val="en-NZ"/>
        </w:rPr>
        <w:t xml:space="preserve">by way </w:t>
      </w:r>
      <w:r w:rsidR="000A2A39">
        <w:rPr>
          <w:lang w:val="en-NZ"/>
        </w:rPr>
        <w:t xml:space="preserve">of maintenance has received the attention it deserves.  </w:t>
      </w:r>
      <w:r w:rsidR="0057437C">
        <w:rPr>
          <w:lang w:val="en-NZ"/>
        </w:rPr>
        <w:t xml:space="preserve">For present purposes the point is that reliance on the resources of a trust when assessing a spouse’s means can be an effective method of obtaining indirect access to those resources. </w:t>
      </w:r>
    </w:p>
    <w:p w:rsidR="00FC453A" w:rsidRDefault="007500D8" w:rsidP="00D14842">
      <w:pPr>
        <w:rPr>
          <w:lang w:val="en-NZ"/>
        </w:rPr>
      </w:pPr>
      <w:r>
        <w:rPr>
          <w:lang w:val="en-NZ"/>
        </w:rPr>
        <w:t>The position over maintenance can be reviewed in any relationship property proceedings (PRA s 32)</w:t>
      </w:r>
      <w:r w:rsidR="00B65BA2">
        <w:rPr>
          <w:lang w:val="en-NZ"/>
        </w:rPr>
        <w:t xml:space="preserve">. There are </w:t>
      </w:r>
      <w:r w:rsidR="00FC453A">
        <w:rPr>
          <w:lang w:val="en-NZ"/>
        </w:rPr>
        <w:t xml:space="preserve">related discretions </w:t>
      </w:r>
      <w:r w:rsidR="00FC6201">
        <w:rPr>
          <w:lang w:val="en-NZ"/>
        </w:rPr>
        <w:t xml:space="preserve">with respect to </w:t>
      </w:r>
      <w:r w:rsidR="00FC453A">
        <w:rPr>
          <w:lang w:val="en-NZ"/>
        </w:rPr>
        <w:t>postponement of sharing (s 26A)</w:t>
      </w:r>
      <w:r w:rsidR="00FC6201">
        <w:rPr>
          <w:lang w:val="en-NZ"/>
        </w:rPr>
        <w:t>,</w:t>
      </w:r>
      <w:r w:rsidR="00FC453A">
        <w:rPr>
          <w:lang w:val="en-NZ"/>
        </w:rPr>
        <w:t xml:space="preserve"> occupation orders (s 27), the form of orders relating to specific kinds of asset (</w:t>
      </w:r>
      <w:proofErr w:type="spellStart"/>
      <w:r w:rsidR="00FC453A">
        <w:rPr>
          <w:lang w:val="en-NZ"/>
        </w:rPr>
        <w:t>ss</w:t>
      </w:r>
      <w:proofErr w:type="spellEnd"/>
      <w:r w:rsidR="00FC453A">
        <w:rPr>
          <w:lang w:val="en-NZ"/>
        </w:rPr>
        <w:t xml:space="preserve"> 28 to 31)</w:t>
      </w:r>
      <w:r>
        <w:rPr>
          <w:lang w:val="en-NZ"/>
        </w:rPr>
        <w:t>,</w:t>
      </w:r>
      <w:r w:rsidR="00FC453A">
        <w:rPr>
          <w:lang w:val="en-NZ"/>
        </w:rPr>
        <w:t xml:space="preserve"> the allocation of the family home as part of the division (s 37) and the terms on which one spouse may be required to pay the other </w:t>
      </w:r>
      <w:r>
        <w:rPr>
          <w:lang w:val="en-NZ"/>
        </w:rPr>
        <w:t xml:space="preserve">(s 37). </w:t>
      </w:r>
      <w:r w:rsidR="008B3D9A">
        <w:rPr>
          <w:lang w:val="en-NZ"/>
        </w:rPr>
        <w:t xml:space="preserve">These are all situations in which </w:t>
      </w:r>
      <w:r w:rsidR="00BD56E6">
        <w:rPr>
          <w:lang w:val="en-NZ"/>
        </w:rPr>
        <w:t xml:space="preserve">the </w:t>
      </w:r>
      <w:r w:rsidR="00FC6201">
        <w:rPr>
          <w:lang w:val="en-NZ"/>
        </w:rPr>
        <w:t xml:space="preserve">resources </w:t>
      </w:r>
      <w:r w:rsidR="00BD56E6">
        <w:rPr>
          <w:lang w:val="en-NZ"/>
        </w:rPr>
        <w:t xml:space="preserve">of </w:t>
      </w:r>
      <w:r w:rsidR="008B3D9A">
        <w:rPr>
          <w:lang w:val="en-NZ"/>
        </w:rPr>
        <w:t xml:space="preserve">a family trust may </w:t>
      </w:r>
      <w:r w:rsidR="001D4353">
        <w:rPr>
          <w:lang w:val="en-NZ"/>
        </w:rPr>
        <w:t xml:space="preserve">play a </w:t>
      </w:r>
      <w:r w:rsidR="008B3D9A">
        <w:rPr>
          <w:lang w:val="en-NZ"/>
        </w:rPr>
        <w:t>critical</w:t>
      </w:r>
      <w:r w:rsidR="001D4353">
        <w:rPr>
          <w:lang w:val="en-NZ"/>
        </w:rPr>
        <w:t xml:space="preserve"> </w:t>
      </w:r>
      <w:r w:rsidR="00FC6201">
        <w:rPr>
          <w:lang w:val="en-NZ"/>
        </w:rPr>
        <w:t xml:space="preserve">role </w:t>
      </w:r>
      <w:r w:rsidR="001D4353">
        <w:rPr>
          <w:lang w:val="en-NZ"/>
        </w:rPr>
        <w:t xml:space="preserve">in the exercise of </w:t>
      </w:r>
      <w:r w:rsidR="00FC6201">
        <w:rPr>
          <w:lang w:val="en-NZ"/>
        </w:rPr>
        <w:t xml:space="preserve">the </w:t>
      </w:r>
      <w:r w:rsidR="001D4353">
        <w:rPr>
          <w:lang w:val="en-NZ"/>
        </w:rPr>
        <w:t>judicial discretion</w:t>
      </w:r>
      <w:r w:rsidR="008B3D9A">
        <w:rPr>
          <w:lang w:val="en-NZ"/>
        </w:rPr>
        <w:t xml:space="preserve">. </w:t>
      </w:r>
    </w:p>
    <w:p w:rsidR="00415CBA" w:rsidRPr="00D14842" w:rsidRDefault="001D4353" w:rsidP="00D14842">
      <w:pPr>
        <w:rPr>
          <w:lang w:val="en-NZ"/>
        </w:rPr>
      </w:pPr>
      <w:r w:rsidRPr="00D14842">
        <w:rPr>
          <w:lang w:val="en-NZ"/>
        </w:rPr>
        <w:lastRenderedPageBreak/>
        <w:t xml:space="preserve">Notwithstanding </w:t>
      </w:r>
      <w:r w:rsidR="006716E4" w:rsidRPr="00D14842">
        <w:rPr>
          <w:lang w:val="en-NZ"/>
        </w:rPr>
        <w:t>the significance of trust</w:t>
      </w:r>
      <w:r w:rsidR="008B3D9A">
        <w:rPr>
          <w:lang w:val="en-NZ"/>
        </w:rPr>
        <w:t xml:space="preserve">s in </w:t>
      </w:r>
      <w:r>
        <w:rPr>
          <w:lang w:val="en-NZ"/>
        </w:rPr>
        <w:t xml:space="preserve">those </w:t>
      </w:r>
      <w:r w:rsidR="008B3D9A">
        <w:rPr>
          <w:lang w:val="en-NZ"/>
        </w:rPr>
        <w:t>situations</w:t>
      </w:r>
      <w:r w:rsidR="006716E4" w:rsidRPr="00D14842">
        <w:rPr>
          <w:lang w:val="en-NZ"/>
        </w:rPr>
        <w:t xml:space="preserve">, there </w:t>
      </w:r>
      <w:r w:rsidR="00B20939">
        <w:rPr>
          <w:lang w:val="en-NZ"/>
        </w:rPr>
        <w:t>is</w:t>
      </w:r>
      <w:r w:rsidR="006716E4" w:rsidRPr="00D14842">
        <w:rPr>
          <w:lang w:val="en-NZ"/>
        </w:rPr>
        <w:t xml:space="preserve"> no </w:t>
      </w:r>
      <w:r w:rsidR="00B20939">
        <w:rPr>
          <w:lang w:val="en-NZ"/>
        </w:rPr>
        <w:t xml:space="preserve">necessity or </w:t>
      </w:r>
      <w:r w:rsidR="006716E4" w:rsidRPr="00D14842">
        <w:rPr>
          <w:lang w:val="en-NZ"/>
        </w:rPr>
        <w:t xml:space="preserve">justification for joining the </w:t>
      </w:r>
      <w:r w:rsidR="00A50DE9" w:rsidRPr="00D14842">
        <w:rPr>
          <w:lang w:val="en-NZ"/>
        </w:rPr>
        <w:t>trustee</w:t>
      </w:r>
      <w:r w:rsidR="006716E4" w:rsidRPr="00D14842">
        <w:rPr>
          <w:lang w:val="en-NZ"/>
        </w:rPr>
        <w:t xml:space="preserve">s as parties to </w:t>
      </w:r>
      <w:r w:rsidR="00B20939">
        <w:rPr>
          <w:lang w:val="en-NZ"/>
        </w:rPr>
        <w:t xml:space="preserve">the </w:t>
      </w:r>
      <w:r w:rsidR="00BD56E6">
        <w:rPr>
          <w:lang w:val="en-NZ"/>
        </w:rPr>
        <w:t>proceedings</w:t>
      </w:r>
      <w:r w:rsidR="00B20939">
        <w:rPr>
          <w:lang w:val="en-NZ"/>
        </w:rPr>
        <w:t xml:space="preserve"> in question.</w:t>
      </w:r>
      <w:r w:rsidR="00BD56E6">
        <w:rPr>
          <w:lang w:val="en-NZ"/>
        </w:rPr>
        <w:t xml:space="preserve"> </w:t>
      </w:r>
      <w:r w:rsidR="006716E4" w:rsidRPr="00D14842">
        <w:rPr>
          <w:lang w:val="en-NZ"/>
        </w:rPr>
        <w:t xml:space="preserve">Any relief afforded, whether by a Court or an arbitrator, </w:t>
      </w:r>
      <w:r w:rsidR="008B3D9A">
        <w:rPr>
          <w:lang w:val="en-NZ"/>
        </w:rPr>
        <w:t>take</w:t>
      </w:r>
      <w:r w:rsidR="00BD56E6">
        <w:rPr>
          <w:lang w:val="en-NZ"/>
        </w:rPr>
        <w:t>s</w:t>
      </w:r>
      <w:r w:rsidR="008B3D9A">
        <w:rPr>
          <w:lang w:val="en-NZ"/>
        </w:rPr>
        <w:t xml:space="preserve"> the form of </w:t>
      </w:r>
      <w:r w:rsidR="006716E4" w:rsidRPr="00D14842">
        <w:rPr>
          <w:lang w:val="en-NZ"/>
        </w:rPr>
        <w:t>an order against the spouse concerned, not against the trust.</w:t>
      </w:r>
    </w:p>
    <w:p w:rsidR="005D4EA6" w:rsidRPr="00D14842" w:rsidRDefault="005D4EA6" w:rsidP="005D4EA6">
      <w:pPr>
        <w:pStyle w:val="Heading1"/>
        <w:rPr>
          <w:rFonts w:ascii="Times New Roman" w:hAnsi="Times New Roman"/>
          <w:color w:val="auto"/>
          <w:sz w:val="24"/>
          <w:lang w:val="en-NZ"/>
        </w:rPr>
      </w:pPr>
      <w:r w:rsidRPr="00D14842">
        <w:rPr>
          <w:rFonts w:ascii="Times New Roman" w:hAnsi="Times New Roman"/>
          <w:color w:val="auto"/>
          <w:sz w:val="24"/>
          <w:lang w:val="en-NZ"/>
        </w:rPr>
        <w:t>Spouse-trustee disputes</w:t>
      </w:r>
    </w:p>
    <w:p w:rsidR="00D94137" w:rsidRPr="00D14842" w:rsidRDefault="00651200" w:rsidP="005D4EA6">
      <w:pPr>
        <w:rPr>
          <w:lang w:val="en-NZ"/>
        </w:rPr>
      </w:pPr>
      <w:r>
        <w:rPr>
          <w:lang w:val="en-NZ"/>
        </w:rPr>
        <w:t xml:space="preserve">Inter-spouse claims of </w:t>
      </w:r>
      <w:r w:rsidR="00BD56E6">
        <w:rPr>
          <w:lang w:val="en-NZ"/>
        </w:rPr>
        <w:t xml:space="preserve">that </w:t>
      </w:r>
      <w:r>
        <w:rPr>
          <w:lang w:val="en-NZ"/>
        </w:rPr>
        <w:t xml:space="preserve">nature may be contrasted with </w:t>
      </w:r>
      <w:r w:rsidR="00D94137" w:rsidRPr="00D14842">
        <w:rPr>
          <w:lang w:val="en-NZ"/>
        </w:rPr>
        <w:t xml:space="preserve">claims </w:t>
      </w:r>
      <w:r w:rsidR="00BD56E6">
        <w:rPr>
          <w:lang w:val="en-NZ"/>
        </w:rPr>
        <w:t xml:space="preserve">which seek </w:t>
      </w:r>
      <w:r>
        <w:rPr>
          <w:lang w:val="en-NZ"/>
        </w:rPr>
        <w:t xml:space="preserve">an order </w:t>
      </w:r>
      <w:r w:rsidR="00B20939">
        <w:rPr>
          <w:lang w:val="en-NZ"/>
        </w:rPr>
        <w:t>impact</w:t>
      </w:r>
      <w:r w:rsidR="00CE4702">
        <w:rPr>
          <w:lang w:val="en-NZ"/>
        </w:rPr>
        <w:t>ing</w:t>
      </w:r>
      <w:r w:rsidR="00B20939">
        <w:rPr>
          <w:lang w:val="en-NZ"/>
        </w:rPr>
        <w:t xml:space="preserve"> upon </w:t>
      </w:r>
      <w:r w:rsidR="00BD56E6">
        <w:rPr>
          <w:lang w:val="en-NZ"/>
        </w:rPr>
        <w:t xml:space="preserve">the </w:t>
      </w:r>
      <w:r>
        <w:rPr>
          <w:lang w:val="en-NZ"/>
        </w:rPr>
        <w:t>trust</w:t>
      </w:r>
      <w:r w:rsidR="00BD56E6">
        <w:rPr>
          <w:lang w:val="en-NZ"/>
        </w:rPr>
        <w:t xml:space="preserve"> itself</w:t>
      </w:r>
      <w:r>
        <w:rPr>
          <w:lang w:val="en-NZ"/>
        </w:rPr>
        <w:t xml:space="preserve">. </w:t>
      </w:r>
      <w:r w:rsidR="00B20939">
        <w:rPr>
          <w:lang w:val="en-NZ"/>
        </w:rPr>
        <w:t>Examples are (i) claims under s 44 of the PRA</w:t>
      </w:r>
      <w:r w:rsidR="006528D8">
        <w:rPr>
          <w:lang w:val="en-NZ"/>
        </w:rPr>
        <w:t xml:space="preserve">, (ii) claims under </w:t>
      </w:r>
      <w:r w:rsidR="006528D8" w:rsidRPr="00D14842">
        <w:rPr>
          <w:lang w:val="en-NZ"/>
        </w:rPr>
        <w:t>s 44C(2)(c) of the PRA</w:t>
      </w:r>
      <w:r w:rsidR="006528D8">
        <w:rPr>
          <w:lang w:val="en-NZ"/>
        </w:rPr>
        <w:t xml:space="preserve">, (iii) claims </w:t>
      </w:r>
      <w:r w:rsidR="006528D8" w:rsidRPr="00D14842">
        <w:rPr>
          <w:lang w:val="en-NZ"/>
        </w:rPr>
        <w:t>against trustees</w:t>
      </w:r>
      <w:r w:rsidR="006528D8">
        <w:rPr>
          <w:lang w:val="en-NZ"/>
        </w:rPr>
        <w:t xml:space="preserve"> based on </w:t>
      </w:r>
      <w:r w:rsidR="006528D8" w:rsidRPr="00D14842">
        <w:rPr>
          <w:lang w:val="en-NZ"/>
        </w:rPr>
        <w:t>constructive trust</w:t>
      </w:r>
      <w:r w:rsidR="00400418">
        <w:rPr>
          <w:lang w:val="en-NZ"/>
        </w:rPr>
        <w:t xml:space="preserve"> or</w:t>
      </w:r>
      <w:r w:rsidR="006528D8">
        <w:rPr>
          <w:lang w:val="en-NZ"/>
        </w:rPr>
        <w:t xml:space="preserve"> </w:t>
      </w:r>
      <w:r w:rsidR="006528D8" w:rsidRPr="00D14842">
        <w:rPr>
          <w:lang w:val="en-NZ"/>
        </w:rPr>
        <w:t>equitable estoppel</w:t>
      </w:r>
      <w:r w:rsidR="00400418">
        <w:rPr>
          <w:lang w:val="en-NZ"/>
        </w:rPr>
        <w:t>,</w:t>
      </w:r>
      <w:r w:rsidR="006528D8">
        <w:rPr>
          <w:lang w:val="en-NZ"/>
        </w:rPr>
        <w:t xml:space="preserve"> and (iv) claims that </w:t>
      </w:r>
      <w:r w:rsidR="006528D8" w:rsidRPr="00D14842">
        <w:rPr>
          <w:lang w:val="en-NZ"/>
        </w:rPr>
        <w:t>a family trust is a sham</w:t>
      </w:r>
      <w:r w:rsidR="00B20939">
        <w:rPr>
          <w:lang w:val="en-NZ"/>
        </w:rPr>
        <w:t xml:space="preserve">. </w:t>
      </w:r>
    </w:p>
    <w:p w:rsidR="006528D8" w:rsidRPr="006528D8" w:rsidRDefault="006528D8" w:rsidP="00D94137">
      <w:pPr>
        <w:rPr>
          <w:i/>
          <w:lang w:val="en-NZ"/>
        </w:rPr>
      </w:pPr>
      <w:r w:rsidRPr="006528D8">
        <w:rPr>
          <w:i/>
          <w:lang w:val="en-NZ"/>
        </w:rPr>
        <w:t>(</w:t>
      </w:r>
      <w:proofErr w:type="gramStart"/>
      <w:r w:rsidRPr="006528D8">
        <w:rPr>
          <w:i/>
          <w:lang w:val="en-NZ"/>
        </w:rPr>
        <w:t>i</w:t>
      </w:r>
      <w:proofErr w:type="gramEnd"/>
      <w:r w:rsidRPr="006528D8">
        <w:rPr>
          <w:i/>
          <w:lang w:val="en-NZ"/>
        </w:rPr>
        <w:t>) Claims under s 44 of the PRA</w:t>
      </w:r>
    </w:p>
    <w:p w:rsidR="00651200" w:rsidRDefault="006528D8" w:rsidP="00D94137">
      <w:pPr>
        <w:rPr>
          <w:lang w:val="en-NZ"/>
        </w:rPr>
      </w:pPr>
      <w:r>
        <w:rPr>
          <w:lang w:val="en-NZ"/>
        </w:rPr>
        <w:t xml:space="preserve">One spouse can apply </w:t>
      </w:r>
      <w:r w:rsidR="00651200">
        <w:rPr>
          <w:lang w:val="en-NZ"/>
        </w:rPr>
        <w:t xml:space="preserve">to set aside </w:t>
      </w:r>
      <w:r>
        <w:rPr>
          <w:lang w:val="en-NZ"/>
        </w:rPr>
        <w:t xml:space="preserve">the other’s </w:t>
      </w:r>
      <w:r w:rsidR="00651200">
        <w:rPr>
          <w:lang w:val="en-NZ"/>
        </w:rPr>
        <w:t xml:space="preserve">disposition </w:t>
      </w:r>
      <w:r>
        <w:rPr>
          <w:lang w:val="en-NZ"/>
        </w:rPr>
        <w:t xml:space="preserve">of property </w:t>
      </w:r>
      <w:r w:rsidR="00651200">
        <w:rPr>
          <w:lang w:val="en-NZ"/>
        </w:rPr>
        <w:t xml:space="preserve">to a trust under s 44 of the PRA on the ground that it had been made </w:t>
      </w:r>
      <w:r w:rsidR="00D94137" w:rsidRPr="00D14842">
        <w:rPr>
          <w:lang w:val="en-NZ"/>
        </w:rPr>
        <w:t xml:space="preserve">in order to defeat the </w:t>
      </w:r>
      <w:r>
        <w:rPr>
          <w:lang w:val="en-NZ"/>
        </w:rPr>
        <w:t xml:space="preserve">first spouse’s </w:t>
      </w:r>
      <w:r w:rsidR="00D94137" w:rsidRPr="00D14842">
        <w:rPr>
          <w:lang w:val="en-NZ"/>
        </w:rPr>
        <w:t xml:space="preserve">rights under the </w:t>
      </w:r>
      <w:r w:rsidR="00651200">
        <w:rPr>
          <w:lang w:val="en-NZ"/>
        </w:rPr>
        <w:t>Act</w:t>
      </w:r>
      <w:r w:rsidR="00D94137" w:rsidRPr="00D14842">
        <w:rPr>
          <w:lang w:val="en-NZ"/>
        </w:rPr>
        <w:t xml:space="preserve">.  The same power arises under s 184 of the Family Proceedings Act where dispositions are made to defeat rights under that Act.  </w:t>
      </w:r>
    </w:p>
    <w:p w:rsidR="00961176" w:rsidRDefault="00D94137" w:rsidP="00D94137">
      <w:pPr>
        <w:rPr>
          <w:lang w:val="en-NZ"/>
        </w:rPr>
      </w:pPr>
      <w:r w:rsidRPr="00D14842">
        <w:rPr>
          <w:lang w:val="en-NZ"/>
        </w:rPr>
        <w:t>Since an order of that nature impacts upon the property and rights of the trust itself</w:t>
      </w:r>
      <w:r w:rsidR="00BD56E6">
        <w:rPr>
          <w:lang w:val="en-NZ"/>
        </w:rPr>
        <w:t>,</w:t>
      </w:r>
      <w:r w:rsidRPr="00D14842">
        <w:rPr>
          <w:lang w:val="en-NZ"/>
        </w:rPr>
        <w:t xml:space="preserve"> any </w:t>
      </w:r>
      <w:r w:rsidR="00BD56E6">
        <w:rPr>
          <w:lang w:val="en-NZ"/>
        </w:rPr>
        <w:t xml:space="preserve">arbitration </w:t>
      </w:r>
      <w:r w:rsidR="00400418">
        <w:rPr>
          <w:lang w:val="en-NZ"/>
        </w:rPr>
        <w:t xml:space="preserve">in question </w:t>
      </w:r>
      <w:r w:rsidR="00BD56E6">
        <w:rPr>
          <w:lang w:val="en-NZ"/>
        </w:rPr>
        <w:t xml:space="preserve">must </w:t>
      </w:r>
      <w:r w:rsidRPr="00D14842">
        <w:rPr>
          <w:lang w:val="en-NZ"/>
        </w:rPr>
        <w:t xml:space="preserve">include the </w:t>
      </w:r>
      <w:r w:rsidR="00A50DE9" w:rsidRPr="00D14842">
        <w:rPr>
          <w:lang w:val="en-NZ"/>
        </w:rPr>
        <w:t>trustee</w:t>
      </w:r>
      <w:r w:rsidRPr="00D14842">
        <w:rPr>
          <w:lang w:val="en-NZ"/>
        </w:rPr>
        <w:t xml:space="preserve">s as a party.  </w:t>
      </w:r>
      <w:r w:rsidR="00961176">
        <w:rPr>
          <w:lang w:val="en-NZ"/>
        </w:rPr>
        <w:t xml:space="preserve">It is true that compromises affecting trusts are sometimes entered into between spouses on the basis that the spouse with de facto control over a trust </w:t>
      </w:r>
      <w:r w:rsidR="0035182E">
        <w:rPr>
          <w:lang w:val="en-NZ"/>
        </w:rPr>
        <w:t xml:space="preserve">agrees </w:t>
      </w:r>
      <w:r w:rsidR="00961176">
        <w:rPr>
          <w:lang w:val="en-NZ"/>
        </w:rPr>
        <w:t>to take all reasonably possible steps to “procure” agreement by the trustees. But such an agreement must always be expressly or impliedly conditional upon the trustees</w:t>
      </w:r>
      <w:r w:rsidR="006528D8">
        <w:rPr>
          <w:lang w:val="en-NZ"/>
        </w:rPr>
        <w:t>’</w:t>
      </w:r>
      <w:r w:rsidR="00961176">
        <w:rPr>
          <w:lang w:val="en-NZ"/>
        </w:rPr>
        <w:t xml:space="preserve"> independently taking the step sought by the spouses. </w:t>
      </w:r>
      <w:r w:rsidR="00E86BFB">
        <w:rPr>
          <w:lang w:val="en-NZ"/>
        </w:rPr>
        <w:t xml:space="preserve">A formula of that kind </w:t>
      </w:r>
      <w:r w:rsidR="00961176">
        <w:rPr>
          <w:lang w:val="en-NZ"/>
        </w:rPr>
        <w:t xml:space="preserve">would not be a satisfactory basis for an arbitration in which an order impacting upon a trust is one of the remedies sought. Nor </w:t>
      </w:r>
      <w:r w:rsidR="00961176" w:rsidRPr="00D14842">
        <w:rPr>
          <w:lang w:val="en-NZ"/>
        </w:rPr>
        <w:t xml:space="preserve">would </w:t>
      </w:r>
      <w:r w:rsidR="00961176">
        <w:rPr>
          <w:lang w:val="en-NZ"/>
        </w:rPr>
        <w:t xml:space="preserve">it </w:t>
      </w:r>
      <w:r w:rsidR="006945D5">
        <w:rPr>
          <w:lang w:val="en-NZ"/>
        </w:rPr>
        <w:t xml:space="preserve">be </w:t>
      </w:r>
      <w:r w:rsidR="00961176" w:rsidRPr="00D14842">
        <w:rPr>
          <w:lang w:val="en-NZ"/>
        </w:rPr>
        <w:t xml:space="preserve">sufficient for the arbitrator to direct that notice be given to trustees under s 37 of the PRA.  </w:t>
      </w:r>
      <w:r w:rsidR="006945D5">
        <w:rPr>
          <w:lang w:val="en-NZ"/>
        </w:rPr>
        <w:t xml:space="preserve">Arbitration is a consensual process to which all who may be affected must agree. </w:t>
      </w:r>
    </w:p>
    <w:p w:rsidR="006945D5" w:rsidRDefault="00CE4702" w:rsidP="00D94137">
      <w:pPr>
        <w:rPr>
          <w:lang w:val="en-NZ"/>
        </w:rPr>
      </w:pPr>
      <w:r>
        <w:rPr>
          <w:lang w:val="en-NZ"/>
        </w:rPr>
        <w:t xml:space="preserve">In short </w:t>
      </w:r>
      <w:r w:rsidR="00D94137" w:rsidRPr="00D14842">
        <w:rPr>
          <w:lang w:val="en-NZ"/>
        </w:rPr>
        <w:t xml:space="preserve">any arbitration </w:t>
      </w:r>
      <w:r w:rsidR="00961176">
        <w:rPr>
          <w:lang w:val="en-NZ"/>
        </w:rPr>
        <w:t xml:space="preserve">in which one of the parties seeks an order directly impacting upon a trust will </w:t>
      </w:r>
      <w:r w:rsidR="00D94137" w:rsidRPr="00D14842">
        <w:rPr>
          <w:lang w:val="en-NZ"/>
        </w:rPr>
        <w:t xml:space="preserve">be possible only if the </w:t>
      </w:r>
      <w:r w:rsidR="00A50DE9" w:rsidRPr="00D14842">
        <w:rPr>
          <w:lang w:val="en-NZ"/>
        </w:rPr>
        <w:t>trustee</w:t>
      </w:r>
      <w:r w:rsidR="00D94137" w:rsidRPr="00D14842">
        <w:rPr>
          <w:lang w:val="en-NZ"/>
        </w:rPr>
        <w:t xml:space="preserve">s agree to be parties to the arbitration.  </w:t>
      </w:r>
    </w:p>
    <w:p w:rsidR="006945D5" w:rsidRDefault="00D94137" w:rsidP="006945D5">
      <w:pPr>
        <w:rPr>
          <w:lang w:val="en-NZ"/>
        </w:rPr>
      </w:pPr>
      <w:r w:rsidRPr="00D14842">
        <w:rPr>
          <w:lang w:val="en-NZ"/>
        </w:rPr>
        <w:t xml:space="preserve">On the other hand there </w:t>
      </w:r>
      <w:r w:rsidR="006945D5">
        <w:rPr>
          <w:lang w:val="en-NZ"/>
        </w:rPr>
        <w:t xml:space="preserve">is no </w:t>
      </w:r>
      <w:r w:rsidRPr="00D14842">
        <w:rPr>
          <w:lang w:val="en-NZ"/>
        </w:rPr>
        <w:t xml:space="preserve">justification for </w:t>
      </w:r>
      <w:r w:rsidR="006945D5">
        <w:rPr>
          <w:lang w:val="en-NZ"/>
        </w:rPr>
        <w:t xml:space="preserve">adding the trust’s </w:t>
      </w:r>
      <w:r w:rsidRPr="00D14842">
        <w:rPr>
          <w:lang w:val="en-NZ"/>
        </w:rPr>
        <w:t xml:space="preserve">beneficiaries </w:t>
      </w:r>
      <w:r w:rsidR="006945D5">
        <w:rPr>
          <w:lang w:val="en-NZ"/>
        </w:rPr>
        <w:t>as parties in the absence of any potential for conflicts of interest within the trust. Section 20 of the Trustee Act 1956 materially provides:</w:t>
      </w:r>
    </w:p>
    <w:p w:rsidR="006945D5" w:rsidRPr="00E778AF" w:rsidRDefault="006945D5" w:rsidP="006945D5">
      <w:pPr>
        <w:shd w:val="clear" w:color="auto" w:fill="FFFFFF"/>
        <w:spacing w:before="240" w:after="0" w:line="288" w:lineRule="atLeast"/>
        <w:ind w:left="720"/>
        <w:outlineLvl w:val="5"/>
        <w:rPr>
          <w:b/>
          <w:bCs/>
          <w:color w:val="000000"/>
          <w:sz w:val="22"/>
          <w:szCs w:val="30"/>
          <w:lang w:val="en-NZ" w:eastAsia="en-NZ" w:bidi="ar-SA"/>
        </w:rPr>
      </w:pPr>
      <w:r w:rsidRPr="00636A45">
        <w:rPr>
          <w:b/>
          <w:bCs/>
          <w:color w:val="000000"/>
          <w:sz w:val="22"/>
          <w:szCs w:val="30"/>
          <w:lang w:val="en-NZ" w:eastAsia="en-NZ" w:bidi="ar-SA"/>
        </w:rPr>
        <w:t xml:space="preserve">20 </w:t>
      </w:r>
      <w:r w:rsidRPr="00E778AF">
        <w:rPr>
          <w:b/>
          <w:bCs/>
          <w:color w:val="000000"/>
          <w:sz w:val="22"/>
          <w:szCs w:val="30"/>
          <w:lang w:val="en-NZ" w:eastAsia="en-NZ" w:bidi="ar-SA"/>
        </w:rPr>
        <w:t>Power to compound liabilities</w:t>
      </w:r>
    </w:p>
    <w:p w:rsidR="006945D5" w:rsidRPr="00E778AF" w:rsidRDefault="006945D5" w:rsidP="006945D5">
      <w:pPr>
        <w:shd w:val="clear" w:color="auto" w:fill="FFFFFF"/>
        <w:spacing w:after="0" w:line="288" w:lineRule="atLeast"/>
        <w:ind w:left="720"/>
        <w:rPr>
          <w:color w:val="000000"/>
          <w:sz w:val="20"/>
          <w:szCs w:val="25"/>
          <w:lang w:val="en-NZ" w:eastAsia="en-NZ" w:bidi="ar-SA"/>
        </w:rPr>
      </w:pPr>
      <w:r w:rsidRPr="00E778AF">
        <w:rPr>
          <w:color w:val="000000"/>
          <w:sz w:val="20"/>
          <w:szCs w:val="25"/>
          <w:lang w:val="en-NZ" w:eastAsia="en-NZ" w:bidi="ar-SA"/>
        </w:rPr>
        <w:t>A trustee may, if and as he thinks fit,—</w:t>
      </w:r>
    </w:p>
    <w:p w:rsidR="006945D5" w:rsidRPr="00636A45" w:rsidRDefault="006945D5" w:rsidP="006945D5">
      <w:pPr>
        <w:shd w:val="clear" w:color="auto" w:fill="FFFFFF"/>
        <w:spacing w:after="0" w:line="288" w:lineRule="atLeast"/>
        <w:ind w:left="1080" w:right="465"/>
        <w:rPr>
          <w:color w:val="000000"/>
          <w:sz w:val="20"/>
          <w:szCs w:val="25"/>
          <w:lang w:val="en-NZ" w:eastAsia="en-NZ" w:bidi="ar-SA"/>
        </w:rPr>
      </w:pPr>
      <w:r w:rsidRPr="00636A45">
        <w:rPr>
          <w:color w:val="000000"/>
          <w:sz w:val="20"/>
          <w:szCs w:val="25"/>
          <w:lang w:val="en-NZ" w:eastAsia="en-NZ" w:bidi="ar-SA"/>
        </w:rPr>
        <w:t>…</w:t>
      </w:r>
    </w:p>
    <w:p w:rsidR="006945D5" w:rsidRPr="00E778AF" w:rsidRDefault="006945D5" w:rsidP="006945D5">
      <w:pPr>
        <w:shd w:val="clear" w:color="auto" w:fill="FFFFFF"/>
        <w:spacing w:after="0" w:line="288" w:lineRule="atLeast"/>
        <w:ind w:left="1080" w:right="465"/>
        <w:rPr>
          <w:color w:val="000000"/>
          <w:sz w:val="20"/>
          <w:szCs w:val="25"/>
          <w:lang w:val="en-NZ" w:eastAsia="en-NZ" w:bidi="ar-SA"/>
        </w:rPr>
      </w:pPr>
      <w:r w:rsidRPr="00636A45">
        <w:rPr>
          <w:color w:val="000000"/>
          <w:sz w:val="20"/>
          <w:szCs w:val="25"/>
          <w:lang w:val="en-NZ" w:eastAsia="en-NZ" w:bidi="ar-SA"/>
        </w:rPr>
        <w:t xml:space="preserve">(g) </w:t>
      </w:r>
      <w:proofErr w:type="gramStart"/>
      <w:r w:rsidRPr="00E778AF">
        <w:rPr>
          <w:color w:val="000000"/>
          <w:sz w:val="20"/>
          <w:szCs w:val="25"/>
          <w:lang w:val="en-NZ" w:eastAsia="en-NZ" w:bidi="ar-SA"/>
        </w:rPr>
        <w:t>compromise</w:t>
      </w:r>
      <w:proofErr w:type="gramEnd"/>
      <w:r w:rsidRPr="00E778AF">
        <w:rPr>
          <w:color w:val="000000"/>
          <w:sz w:val="20"/>
          <w:szCs w:val="25"/>
          <w:lang w:val="en-NZ" w:eastAsia="en-NZ" w:bidi="ar-SA"/>
        </w:rPr>
        <w:t>, compound, abandon, submit to arbitration, or otherwise settle any debt, account, claim, or thing whatever relating to the trust or to the trust property,—</w:t>
      </w:r>
    </w:p>
    <w:p w:rsidR="006945D5" w:rsidRPr="00E778AF" w:rsidRDefault="006945D5" w:rsidP="006945D5">
      <w:pPr>
        <w:ind w:left="720"/>
        <w:rPr>
          <w:color w:val="000000"/>
          <w:sz w:val="20"/>
          <w:szCs w:val="25"/>
          <w:lang w:val="en-NZ" w:eastAsia="en-NZ" w:bidi="ar-SA"/>
        </w:rPr>
      </w:pPr>
      <w:r w:rsidRPr="00E778AF">
        <w:rPr>
          <w:color w:val="000000"/>
          <w:sz w:val="20"/>
          <w:szCs w:val="25"/>
          <w:lang w:val="en-NZ" w:eastAsia="en-NZ" w:bidi="ar-SA"/>
        </w:rPr>
        <w:t>and for any of those purposes may enter into, give, execute, and do such agreements, instruments of composition or arrangement, releases, and other things as to him seem expedient, without being responsible for any loss occasioned by any act or things so done by him in good faith.</w:t>
      </w:r>
    </w:p>
    <w:p w:rsidR="006945D5" w:rsidRDefault="006945D5" w:rsidP="006945D5">
      <w:pPr>
        <w:rPr>
          <w:lang w:val="en-NZ"/>
        </w:rPr>
      </w:pPr>
      <w:r>
        <w:rPr>
          <w:lang w:val="en-NZ"/>
        </w:rPr>
        <w:lastRenderedPageBreak/>
        <w:t xml:space="preserve">In the absence of </w:t>
      </w:r>
      <w:r w:rsidR="00400418">
        <w:rPr>
          <w:lang w:val="en-NZ"/>
        </w:rPr>
        <w:t xml:space="preserve">potential </w:t>
      </w:r>
      <w:r>
        <w:rPr>
          <w:lang w:val="en-NZ"/>
        </w:rPr>
        <w:t xml:space="preserve">conflicts </w:t>
      </w:r>
      <w:r w:rsidR="00400418">
        <w:rPr>
          <w:lang w:val="en-NZ"/>
        </w:rPr>
        <w:t xml:space="preserve">within the trust, </w:t>
      </w:r>
      <w:r>
        <w:rPr>
          <w:lang w:val="en-NZ"/>
        </w:rPr>
        <w:t xml:space="preserve">trustees are competent to enter into an arbitration agreement with the two spouses on behalf of the trust. </w:t>
      </w:r>
      <w:r w:rsidR="00400418">
        <w:rPr>
          <w:lang w:val="en-NZ"/>
        </w:rPr>
        <w:t>The trustees</w:t>
      </w:r>
      <w:r>
        <w:rPr>
          <w:lang w:val="en-NZ"/>
        </w:rPr>
        <w:t xml:space="preserve"> can be taken to represent the interests of all parties to the trust. </w:t>
      </w:r>
    </w:p>
    <w:p w:rsidR="00400418" w:rsidRDefault="006945D5" w:rsidP="00ED0F32">
      <w:pPr>
        <w:rPr>
          <w:lang w:val="en-NZ"/>
        </w:rPr>
      </w:pPr>
      <w:r>
        <w:rPr>
          <w:lang w:val="en-NZ"/>
        </w:rPr>
        <w:t xml:space="preserve">A theoretical qualification concerns </w:t>
      </w:r>
      <w:r w:rsidRPr="00D14842">
        <w:rPr>
          <w:lang w:val="en-NZ"/>
        </w:rPr>
        <w:t>person</w:t>
      </w:r>
      <w:r>
        <w:rPr>
          <w:lang w:val="en-NZ"/>
        </w:rPr>
        <w:t>s</w:t>
      </w:r>
      <w:r w:rsidRPr="00D14842">
        <w:rPr>
          <w:lang w:val="en-NZ"/>
        </w:rPr>
        <w:t xml:space="preserve"> who had received </w:t>
      </w:r>
      <w:r w:rsidR="00ED0F32">
        <w:rPr>
          <w:lang w:val="en-NZ"/>
        </w:rPr>
        <w:t xml:space="preserve">the disputed </w:t>
      </w:r>
      <w:r w:rsidRPr="00D14842">
        <w:rPr>
          <w:lang w:val="en-NZ"/>
        </w:rPr>
        <w:t xml:space="preserve">property in good faith and </w:t>
      </w:r>
      <w:r w:rsidR="00ED0F32">
        <w:rPr>
          <w:lang w:val="en-NZ"/>
        </w:rPr>
        <w:t xml:space="preserve">who </w:t>
      </w:r>
      <w:r w:rsidRPr="00D14842">
        <w:rPr>
          <w:lang w:val="en-NZ"/>
        </w:rPr>
        <w:t xml:space="preserve">had so altered </w:t>
      </w:r>
      <w:r w:rsidR="00ED0F32">
        <w:rPr>
          <w:lang w:val="en-NZ"/>
        </w:rPr>
        <w:t xml:space="preserve">their </w:t>
      </w:r>
      <w:r w:rsidRPr="00D14842">
        <w:rPr>
          <w:lang w:val="en-NZ"/>
        </w:rPr>
        <w:t xml:space="preserve">position in reliance on the property that it would be inequitable to </w:t>
      </w:r>
      <w:r w:rsidR="00C624F1">
        <w:rPr>
          <w:lang w:val="en-NZ"/>
        </w:rPr>
        <w:t>return it to the spouses</w:t>
      </w:r>
      <w:r w:rsidR="00ED0F32">
        <w:rPr>
          <w:lang w:val="en-NZ"/>
        </w:rPr>
        <w:t xml:space="preserve">. Such persons could be </w:t>
      </w:r>
      <w:r w:rsidR="00C624F1">
        <w:rPr>
          <w:lang w:val="en-NZ"/>
        </w:rPr>
        <w:t xml:space="preserve">potential parties to </w:t>
      </w:r>
      <w:r w:rsidR="00ED0F32">
        <w:rPr>
          <w:lang w:val="en-NZ"/>
        </w:rPr>
        <w:t xml:space="preserve">the arbitration </w:t>
      </w:r>
      <w:r w:rsidR="00400418">
        <w:rPr>
          <w:lang w:val="en-NZ"/>
        </w:rPr>
        <w:t xml:space="preserve">if </w:t>
      </w:r>
      <w:r w:rsidR="00ED0F32">
        <w:rPr>
          <w:lang w:val="en-NZ"/>
        </w:rPr>
        <w:t xml:space="preserve">they </w:t>
      </w:r>
      <w:r w:rsidR="00CE4702">
        <w:rPr>
          <w:lang w:val="en-NZ"/>
        </w:rPr>
        <w:t xml:space="preserve">required </w:t>
      </w:r>
      <w:r w:rsidR="0035182E">
        <w:rPr>
          <w:lang w:val="en-NZ"/>
        </w:rPr>
        <w:t xml:space="preserve">relief </w:t>
      </w:r>
      <w:r w:rsidR="00ED0F32">
        <w:rPr>
          <w:lang w:val="en-NZ"/>
        </w:rPr>
        <w:t xml:space="preserve">under </w:t>
      </w:r>
      <w:r w:rsidRPr="00D14842">
        <w:rPr>
          <w:lang w:val="en-NZ"/>
        </w:rPr>
        <w:t xml:space="preserve">s 44(4) </w:t>
      </w:r>
      <w:r w:rsidR="00ED0F32">
        <w:rPr>
          <w:lang w:val="en-NZ"/>
        </w:rPr>
        <w:t xml:space="preserve">of the </w:t>
      </w:r>
      <w:r w:rsidRPr="00D14842">
        <w:rPr>
          <w:lang w:val="en-NZ"/>
        </w:rPr>
        <w:t>PRA</w:t>
      </w:r>
      <w:r w:rsidR="00ED0F32">
        <w:rPr>
          <w:lang w:val="en-NZ"/>
        </w:rPr>
        <w:t xml:space="preserve"> or </w:t>
      </w:r>
      <w:r w:rsidRPr="00D14842">
        <w:rPr>
          <w:lang w:val="en-NZ"/>
        </w:rPr>
        <w:t>s 184(4) Family Proceedings Act</w:t>
      </w:r>
      <w:r w:rsidR="00ED0F32">
        <w:rPr>
          <w:lang w:val="en-NZ"/>
        </w:rPr>
        <w:t xml:space="preserve">. </w:t>
      </w:r>
    </w:p>
    <w:p w:rsidR="00D94137" w:rsidRPr="00D14842" w:rsidRDefault="00CE4702" w:rsidP="00ED0F32">
      <w:pPr>
        <w:rPr>
          <w:lang w:val="en-NZ"/>
        </w:rPr>
      </w:pPr>
      <w:r>
        <w:rPr>
          <w:lang w:val="en-NZ"/>
        </w:rPr>
        <w:t xml:space="preserve">In </w:t>
      </w:r>
      <w:r w:rsidR="00DE7A77">
        <w:rPr>
          <w:lang w:val="en-NZ"/>
        </w:rPr>
        <w:t xml:space="preserve">practice </w:t>
      </w:r>
      <w:r w:rsidR="00ED0F32">
        <w:rPr>
          <w:lang w:val="en-NZ"/>
        </w:rPr>
        <w:t xml:space="preserve">the need to join </w:t>
      </w:r>
      <w:r w:rsidR="00400418">
        <w:rPr>
          <w:lang w:val="en-NZ"/>
        </w:rPr>
        <w:t xml:space="preserve">extra parties under </w:t>
      </w:r>
      <w:r w:rsidR="00400418" w:rsidRPr="00D14842">
        <w:rPr>
          <w:lang w:val="en-NZ"/>
        </w:rPr>
        <w:t xml:space="preserve">s 44(4) </w:t>
      </w:r>
      <w:r w:rsidR="00400418">
        <w:rPr>
          <w:lang w:val="en-NZ"/>
        </w:rPr>
        <w:t xml:space="preserve">of the </w:t>
      </w:r>
      <w:r w:rsidR="00400418" w:rsidRPr="00D14842">
        <w:rPr>
          <w:lang w:val="en-NZ"/>
        </w:rPr>
        <w:t>PRA</w:t>
      </w:r>
      <w:r w:rsidR="00400418">
        <w:rPr>
          <w:lang w:val="en-NZ"/>
        </w:rPr>
        <w:t xml:space="preserve"> or </w:t>
      </w:r>
      <w:r w:rsidR="00400418" w:rsidRPr="00D14842">
        <w:rPr>
          <w:lang w:val="en-NZ"/>
        </w:rPr>
        <w:t>s 184(4) Family Proceedings Act</w:t>
      </w:r>
      <w:r w:rsidR="00400418">
        <w:rPr>
          <w:lang w:val="en-NZ"/>
        </w:rPr>
        <w:t xml:space="preserve"> </w:t>
      </w:r>
      <w:r w:rsidR="00ED0F32">
        <w:rPr>
          <w:lang w:val="en-NZ"/>
        </w:rPr>
        <w:t xml:space="preserve">will not arise in arbitration any more than it does in Court. In most cases the disputed property will have remained in the trust. If it has been </w:t>
      </w:r>
      <w:r w:rsidR="00C624F1">
        <w:rPr>
          <w:lang w:val="en-NZ"/>
        </w:rPr>
        <w:t xml:space="preserve">further </w:t>
      </w:r>
      <w:r w:rsidR="0081070F" w:rsidRPr="00D14842">
        <w:rPr>
          <w:lang w:val="en-NZ"/>
        </w:rPr>
        <w:t xml:space="preserve">distributed to a beneficiary other than one of the spouses, the claimant spouse </w:t>
      </w:r>
      <w:r w:rsidR="00400418">
        <w:rPr>
          <w:lang w:val="en-NZ"/>
        </w:rPr>
        <w:t xml:space="preserve">is likely to </w:t>
      </w:r>
      <w:r w:rsidR="00C624F1">
        <w:rPr>
          <w:lang w:val="en-NZ"/>
        </w:rPr>
        <w:t xml:space="preserve">seek a non-proprietary </w:t>
      </w:r>
      <w:r w:rsidR="0081070F" w:rsidRPr="00D14842">
        <w:rPr>
          <w:lang w:val="en-NZ"/>
        </w:rPr>
        <w:t xml:space="preserve">remedy, such as a direction under s 44C of the PRA, in order to keep the arbitration </w:t>
      </w:r>
      <w:r w:rsidR="00C624F1">
        <w:rPr>
          <w:lang w:val="en-NZ"/>
        </w:rPr>
        <w:t xml:space="preserve">(or for that matter court proceedings) </w:t>
      </w:r>
      <w:r w:rsidR="0081070F" w:rsidRPr="00D14842">
        <w:rPr>
          <w:lang w:val="en-NZ"/>
        </w:rPr>
        <w:t>within manageable proportions.</w:t>
      </w:r>
    </w:p>
    <w:p w:rsidR="006528D8" w:rsidRPr="006528D8" w:rsidRDefault="006528D8" w:rsidP="00D94137">
      <w:pPr>
        <w:rPr>
          <w:i/>
          <w:lang w:val="en-NZ"/>
        </w:rPr>
      </w:pPr>
      <w:r w:rsidRPr="006528D8">
        <w:rPr>
          <w:i/>
          <w:lang w:val="en-NZ"/>
        </w:rPr>
        <w:t xml:space="preserve">(ii) Claims under s </w:t>
      </w:r>
      <w:proofErr w:type="gramStart"/>
      <w:r w:rsidRPr="006528D8">
        <w:rPr>
          <w:i/>
          <w:lang w:val="en-NZ"/>
        </w:rPr>
        <w:t>44C(</w:t>
      </w:r>
      <w:proofErr w:type="gramEnd"/>
      <w:r w:rsidRPr="006528D8">
        <w:rPr>
          <w:i/>
          <w:lang w:val="en-NZ"/>
        </w:rPr>
        <w:t>2)(c) of the PRA</w:t>
      </w:r>
    </w:p>
    <w:p w:rsidR="00400418" w:rsidRDefault="000534E5" w:rsidP="00D94137">
      <w:pPr>
        <w:rPr>
          <w:lang w:val="en-NZ"/>
        </w:rPr>
      </w:pPr>
      <w:r>
        <w:rPr>
          <w:lang w:val="en-NZ"/>
        </w:rPr>
        <w:t xml:space="preserve">A </w:t>
      </w:r>
      <w:r w:rsidR="0081070F" w:rsidRPr="00D14842">
        <w:rPr>
          <w:lang w:val="en-NZ"/>
        </w:rPr>
        <w:t xml:space="preserve">second kind of claim </w:t>
      </w:r>
      <w:r w:rsidR="00C624F1">
        <w:rPr>
          <w:lang w:val="en-NZ"/>
        </w:rPr>
        <w:t xml:space="preserve">which </w:t>
      </w:r>
      <w:r w:rsidR="0076034F">
        <w:rPr>
          <w:lang w:val="en-NZ"/>
        </w:rPr>
        <w:t>c</w:t>
      </w:r>
      <w:r w:rsidR="00C624F1">
        <w:rPr>
          <w:lang w:val="en-NZ"/>
        </w:rPr>
        <w:t xml:space="preserve">ould impact upon </w:t>
      </w:r>
      <w:r w:rsidR="0081070F" w:rsidRPr="00D14842">
        <w:rPr>
          <w:lang w:val="en-NZ"/>
        </w:rPr>
        <w:t xml:space="preserve">the trust itself arises under s </w:t>
      </w:r>
      <w:proofErr w:type="gramStart"/>
      <w:r w:rsidR="0081070F" w:rsidRPr="00D14842">
        <w:rPr>
          <w:lang w:val="en-NZ"/>
        </w:rPr>
        <w:t>44C(</w:t>
      </w:r>
      <w:proofErr w:type="gramEnd"/>
      <w:r w:rsidR="0081070F" w:rsidRPr="00D14842">
        <w:rPr>
          <w:lang w:val="en-NZ"/>
        </w:rPr>
        <w:t>2)(c) of the PRA</w:t>
      </w:r>
      <w:r w:rsidR="00C624F1">
        <w:rPr>
          <w:lang w:val="en-NZ"/>
        </w:rPr>
        <w:t>. That provision</w:t>
      </w:r>
      <w:r w:rsidR="0081070F" w:rsidRPr="00D14842">
        <w:rPr>
          <w:lang w:val="en-NZ"/>
        </w:rPr>
        <w:t xml:space="preserve"> permits an order requiring trustees to pay all or part of the trust income to a claimant spouse.</w:t>
      </w:r>
      <w:r>
        <w:rPr>
          <w:rStyle w:val="FootnoteReference"/>
          <w:lang w:val="en-NZ"/>
        </w:rPr>
        <w:footnoteReference w:id="8"/>
      </w:r>
      <w:r w:rsidR="0081070F" w:rsidRPr="00D14842">
        <w:rPr>
          <w:lang w:val="en-NZ"/>
        </w:rPr>
        <w:t xml:space="preserve">  Again, if a claimant spouse seeks such an order it would be necessary for the </w:t>
      </w:r>
      <w:r w:rsidR="00A50DE9" w:rsidRPr="00D14842">
        <w:rPr>
          <w:lang w:val="en-NZ"/>
        </w:rPr>
        <w:t>trustee</w:t>
      </w:r>
      <w:r w:rsidR="0081070F" w:rsidRPr="00D14842">
        <w:rPr>
          <w:lang w:val="en-NZ"/>
        </w:rPr>
        <w:t>s to join in the arbitration agreement</w:t>
      </w:r>
      <w:r w:rsidR="00C624F1">
        <w:rPr>
          <w:lang w:val="en-NZ"/>
        </w:rPr>
        <w:t xml:space="preserve">. </w:t>
      </w:r>
    </w:p>
    <w:p w:rsidR="0076034F" w:rsidRDefault="00C624F1" w:rsidP="00D94137">
      <w:pPr>
        <w:rPr>
          <w:lang w:val="en-NZ"/>
        </w:rPr>
      </w:pPr>
      <w:r>
        <w:rPr>
          <w:lang w:val="en-NZ"/>
        </w:rPr>
        <w:t xml:space="preserve">Theoretically an order </w:t>
      </w:r>
      <w:r w:rsidR="0076034F">
        <w:rPr>
          <w:lang w:val="en-NZ"/>
        </w:rPr>
        <w:t xml:space="preserve">under s 44C(2)(c) impacts disproportionately upon income beneficiaries but no </w:t>
      </w:r>
      <w:r>
        <w:rPr>
          <w:lang w:val="en-NZ"/>
        </w:rPr>
        <w:t>court-conducted cases under s 44C</w:t>
      </w:r>
      <w:r w:rsidR="006D2896">
        <w:rPr>
          <w:lang w:val="en-NZ"/>
        </w:rPr>
        <w:t>, or its equivalents,</w:t>
      </w:r>
      <w:r>
        <w:rPr>
          <w:lang w:val="en-NZ"/>
        </w:rPr>
        <w:t xml:space="preserve"> have yet been reported in which beneficiaries, or separate classes of beneficiary, have been separately represented.</w:t>
      </w:r>
      <w:r w:rsidR="00D6556E">
        <w:rPr>
          <w:lang w:val="en-NZ"/>
        </w:rPr>
        <w:t xml:space="preserve"> </w:t>
      </w:r>
      <w:r w:rsidR="0076034F">
        <w:rPr>
          <w:lang w:val="en-NZ"/>
        </w:rPr>
        <w:t xml:space="preserve">It seems safe to assume that in all but the most exceptional of cases </w:t>
      </w:r>
      <w:r w:rsidR="0076034F" w:rsidRPr="00D14842">
        <w:rPr>
          <w:lang w:val="en-NZ"/>
        </w:rPr>
        <w:t xml:space="preserve">the trustees </w:t>
      </w:r>
      <w:r w:rsidR="0076034F">
        <w:rPr>
          <w:lang w:val="en-NZ"/>
        </w:rPr>
        <w:t xml:space="preserve">will </w:t>
      </w:r>
      <w:r w:rsidR="0076034F" w:rsidRPr="00D14842">
        <w:rPr>
          <w:lang w:val="en-NZ"/>
        </w:rPr>
        <w:t xml:space="preserve">adequately represent </w:t>
      </w:r>
      <w:r w:rsidR="0076034F">
        <w:rPr>
          <w:lang w:val="en-NZ"/>
        </w:rPr>
        <w:t>all parties to the trust</w:t>
      </w:r>
      <w:r w:rsidR="0076034F" w:rsidRPr="00D14842">
        <w:rPr>
          <w:lang w:val="en-NZ"/>
        </w:rPr>
        <w:t xml:space="preserve">.  </w:t>
      </w:r>
    </w:p>
    <w:p w:rsidR="000534E5" w:rsidRPr="000534E5" w:rsidRDefault="000534E5" w:rsidP="00D94137">
      <w:pPr>
        <w:rPr>
          <w:i/>
          <w:lang w:val="en-NZ"/>
        </w:rPr>
      </w:pPr>
      <w:r w:rsidRPr="000534E5">
        <w:rPr>
          <w:i/>
          <w:lang w:val="en-NZ"/>
        </w:rPr>
        <w:t>(iii) Claims against trustees based on constructive trust</w:t>
      </w:r>
      <w:r w:rsidR="00400418">
        <w:rPr>
          <w:i/>
          <w:lang w:val="en-NZ"/>
        </w:rPr>
        <w:t xml:space="preserve"> or</w:t>
      </w:r>
      <w:r w:rsidRPr="000534E5">
        <w:rPr>
          <w:i/>
          <w:lang w:val="en-NZ"/>
        </w:rPr>
        <w:t xml:space="preserve"> equitable estoppel </w:t>
      </w:r>
    </w:p>
    <w:p w:rsidR="006F4B94" w:rsidRDefault="00C449CD" w:rsidP="00D94137">
      <w:pPr>
        <w:rPr>
          <w:lang w:val="en-NZ"/>
        </w:rPr>
      </w:pPr>
      <w:r w:rsidRPr="00D14842">
        <w:rPr>
          <w:lang w:val="en-NZ"/>
        </w:rPr>
        <w:t xml:space="preserve">A third type of </w:t>
      </w:r>
      <w:r w:rsidR="0076034F">
        <w:rPr>
          <w:lang w:val="en-NZ"/>
        </w:rPr>
        <w:t xml:space="preserve">trust </w:t>
      </w:r>
      <w:r w:rsidRPr="00D14842">
        <w:rPr>
          <w:lang w:val="en-NZ"/>
        </w:rPr>
        <w:t xml:space="preserve">claim </w:t>
      </w:r>
      <w:r w:rsidR="00CE4702">
        <w:rPr>
          <w:lang w:val="en-NZ"/>
        </w:rPr>
        <w:t xml:space="preserve">involves </w:t>
      </w:r>
      <w:r w:rsidR="0076034F">
        <w:rPr>
          <w:lang w:val="en-NZ"/>
        </w:rPr>
        <w:t xml:space="preserve">civil proceedings </w:t>
      </w:r>
      <w:r w:rsidRPr="00D14842">
        <w:rPr>
          <w:lang w:val="en-NZ"/>
        </w:rPr>
        <w:t xml:space="preserve">against </w:t>
      </w:r>
      <w:r w:rsidR="00A50DE9" w:rsidRPr="00D14842">
        <w:rPr>
          <w:lang w:val="en-NZ"/>
        </w:rPr>
        <w:t>trustee</w:t>
      </w:r>
      <w:r w:rsidRPr="00D14842">
        <w:rPr>
          <w:lang w:val="en-NZ"/>
        </w:rPr>
        <w:t>s</w:t>
      </w:r>
      <w:r w:rsidR="0076034F">
        <w:rPr>
          <w:lang w:val="en-NZ"/>
        </w:rPr>
        <w:t xml:space="preserve"> based on </w:t>
      </w:r>
      <w:r w:rsidRPr="00D14842">
        <w:rPr>
          <w:lang w:val="en-NZ"/>
        </w:rPr>
        <w:t>constructive trust</w:t>
      </w:r>
      <w:r w:rsidR="00400418">
        <w:rPr>
          <w:lang w:val="en-NZ"/>
        </w:rPr>
        <w:t xml:space="preserve"> or</w:t>
      </w:r>
      <w:r w:rsidR="0076034F">
        <w:rPr>
          <w:lang w:val="en-NZ"/>
        </w:rPr>
        <w:t xml:space="preserve"> </w:t>
      </w:r>
      <w:r w:rsidRPr="00D14842">
        <w:rPr>
          <w:lang w:val="en-NZ"/>
        </w:rPr>
        <w:t>equitable estoppel</w:t>
      </w:r>
      <w:r w:rsidR="0076034F">
        <w:rPr>
          <w:lang w:val="en-NZ"/>
        </w:rPr>
        <w:t>.</w:t>
      </w:r>
      <w:r w:rsidRPr="00D14842">
        <w:rPr>
          <w:lang w:val="en-NZ"/>
        </w:rPr>
        <w:t xml:space="preserve"> </w:t>
      </w:r>
      <w:r w:rsidR="00CE4702" w:rsidRPr="00D14842">
        <w:rPr>
          <w:lang w:val="en-NZ"/>
        </w:rPr>
        <w:t>Constructive trust</w:t>
      </w:r>
      <w:r w:rsidR="00CE4702">
        <w:rPr>
          <w:lang w:val="en-NZ"/>
        </w:rPr>
        <w:t xml:space="preserve"> and </w:t>
      </w:r>
      <w:r w:rsidR="00CE4702" w:rsidRPr="00D14842">
        <w:rPr>
          <w:lang w:val="en-NZ"/>
        </w:rPr>
        <w:t>equitable estoppel</w:t>
      </w:r>
      <w:r w:rsidR="00CE4702">
        <w:rPr>
          <w:lang w:val="en-NZ"/>
        </w:rPr>
        <w:t xml:space="preserve"> </w:t>
      </w:r>
      <w:r w:rsidR="0076034F" w:rsidRPr="00D14842">
        <w:rPr>
          <w:lang w:val="en-NZ"/>
        </w:rPr>
        <w:t xml:space="preserve">claims </w:t>
      </w:r>
      <w:r w:rsidR="00CE4702">
        <w:rPr>
          <w:lang w:val="en-NZ"/>
        </w:rPr>
        <w:t xml:space="preserve">between legal and de facto </w:t>
      </w:r>
      <w:r w:rsidR="00CE4702" w:rsidRPr="00D14842">
        <w:rPr>
          <w:lang w:val="en-NZ"/>
        </w:rPr>
        <w:t>spouses</w:t>
      </w:r>
      <w:r w:rsidR="00CE4702">
        <w:rPr>
          <w:lang w:val="en-NZ"/>
        </w:rPr>
        <w:t xml:space="preserve"> </w:t>
      </w:r>
      <w:r w:rsidR="00400418">
        <w:rPr>
          <w:lang w:val="en-NZ"/>
        </w:rPr>
        <w:t xml:space="preserve">were common </w:t>
      </w:r>
      <w:r w:rsidR="002B4690">
        <w:rPr>
          <w:lang w:val="en-NZ"/>
        </w:rPr>
        <w:t xml:space="preserve">before </w:t>
      </w:r>
      <w:r w:rsidR="006F4B94">
        <w:rPr>
          <w:lang w:val="en-NZ"/>
        </w:rPr>
        <w:t xml:space="preserve">s 4 of </w:t>
      </w:r>
      <w:r w:rsidR="00400418">
        <w:rPr>
          <w:lang w:val="en-NZ"/>
        </w:rPr>
        <w:t xml:space="preserve">the PRA </w:t>
      </w:r>
      <w:r w:rsidR="002B4690">
        <w:rPr>
          <w:lang w:val="en-NZ"/>
        </w:rPr>
        <w:t xml:space="preserve">excluded </w:t>
      </w:r>
      <w:r w:rsidR="00400418">
        <w:rPr>
          <w:lang w:val="en-NZ"/>
        </w:rPr>
        <w:t>them.</w:t>
      </w:r>
      <w:r w:rsidR="006F4B94" w:rsidRPr="006F4B94">
        <w:rPr>
          <w:rStyle w:val="FootnoteReference"/>
          <w:lang w:val="en-NZ"/>
        </w:rPr>
        <w:t xml:space="preserve"> </w:t>
      </w:r>
      <w:r w:rsidR="006F4B94">
        <w:rPr>
          <w:rStyle w:val="FootnoteReference"/>
          <w:lang w:val="en-NZ"/>
        </w:rPr>
        <w:footnoteReference w:id="9"/>
      </w:r>
      <w:r w:rsidRPr="00D14842">
        <w:rPr>
          <w:lang w:val="en-NZ"/>
        </w:rPr>
        <w:t xml:space="preserve"> </w:t>
      </w:r>
    </w:p>
    <w:p w:rsidR="00C449CD" w:rsidRPr="00D14842" w:rsidRDefault="00400418" w:rsidP="00D94137">
      <w:pPr>
        <w:rPr>
          <w:lang w:val="en-NZ"/>
        </w:rPr>
      </w:pPr>
      <w:r>
        <w:rPr>
          <w:lang w:val="en-NZ"/>
        </w:rPr>
        <w:t xml:space="preserve">As </w:t>
      </w:r>
      <w:r w:rsidR="006F4B94" w:rsidRPr="00D14842">
        <w:rPr>
          <w:lang w:val="en-NZ"/>
        </w:rPr>
        <w:t>constructive trust</w:t>
      </w:r>
      <w:r w:rsidR="006F4B94">
        <w:rPr>
          <w:lang w:val="en-NZ"/>
        </w:rPr>
        <w:t xml:space="preserve"> and </w:t>
      </w:r>
      <w:r w:rsidR="006F4B94" w:rsidRPr="00D14842">
        <w:rPr>
          <w:lang w:val="en-NZ"/>
        </w:rPr>
        <w:t>equitable estoppel</w:t>
      </w:r>
      <w:r w:rsidR="006F4B94">
        <w:rPr>
          <w:lang w:val="en-NZ"/>
        </w:rPr>
        <w:t xml:space="preserve"> </w:t>
      </w:r>
      <w:r>
        <w:rPr>
          <w:lang w:val="en-NZ"/>
        </w:rPr>
        <w:t xml:space="preserve">causes of action </w:t>
      </w:r>
      <w:r w:rsidR="00DE7A77">
        <w:rPr>
          <w:lang w:val="en-NZ"/>
        </w:rPr>
        <w:t xml:space="preserve">have always been </w:t>
      </w:r>
      <w:r w:rsidR="002B4690">
        <w:rPr>
          <w:lang w:val="en-NZ"/>
        </w:rPr>
        <w:t xml:space="preserve">based on </w:t>
      </w:r>
      <w:r w:rsidR="00C449CD" w:rsidRPr="00D14842">
        <w:rPr>
          <w:lang w:val="en-NZ"/>
        </w:rPr>
        <w:t xml:space="preserve">equitable principles of general </w:t>
      </w:r>
      <w:r w:rsidR="002B4690">
        <w:rPr>
          <w:lang w:val="en-NZ"/>
        </w:rPr>
        <w:t>application</w:t>
      </w:r>
      <w:r w:rsidR="006F4B94">
        <w:rPr>
          <w:lang w:val="en-NZ"/>
        </w:rPr>
        <w:t>,</w:t>
      </w:r>
      <w:r w:rsidR="002B4690">
        <w:rPr>
          <w:lang w:val="en-NZ"/>
        </w:rPr>
        <w:t xml:space="preserve"> </w:t>
      </w:r>
      <w:r w:rsidR="006F4B94">
        <w:rPr>
          <w:lang w:val="en-NZ"/>
        </w:rPr>
        <w:t xml:space="preserve">there is still nothing to stop </w:t>
      </w:r>
      <w:r w:rsidR="002B4690">
        <w:rPr>
          <w:lang w:val="en-NZ"/>
        </w:rPr>
        <w:t>one spouse</w:t>
      </w:r>
      <w:r w:rsidR="006F4B94">
        <w:rPr>
          <w:lang w:val="en-NZ"/>
        </w:rPr>
        <w:t xml:space="preserve"> from</w:t>
      </w:r>
      <w:r w:rsidR="002B4690">
        <w:rPr>
          <w:lang w:val="en-NZ"/>
        </w:rPr>
        <w:t xml:space="preserve"> bringing a claim </w:t>
      </w:r>
      <w:r w:rsidR="006F4B94">
        <w:rPr>
          <w:lang w:val="en-NZ"/>
        </w:rPr>
        <w:t xml:space="preserve">of that nature </w:t>
      </w:r>
      <w:r w:rsidR="002B4690">
        <w:rPr>
          <w:lang w:val="en-NZ"/>
        </w:rPr>
        <w:t xml:space="preserve">against the trustees of a family trust. Thus </w:t>
      </w:r>
      <w:r w:rsidR="006F4B94">
        <w:rPr>
          <w:lang w:val="en-NZ"/>
        </w:rPr>
        <w:t xml:space="preserve">a spouse may be in a position to argue that he or she </w:t>
      </w:r>
      <w:r w:rsidR="002B4690">
        <w:rPr>
          <w:lang w:val="en-NZ"/>
        </w:rPr>
        <w:t xml:space="preserve">contributed </w:t>
      </w:r>
      <w:r w:rsidR="00C449CD" w:rsidRPr="00D14842">
        <w:rPr>
          <w:lang w:val="en-NZ"/>
        </w:rPr>
        <w:t xml:space="preserve">money, property or labour to </w:t>
      </w:r>
      <w:r w:rsidR="006F4B94">
        <w:rPr>
          <w:lang w:val="en-NZ"/>
        </w:rPr>
        <w:t xml:space="preserve">a trust’s house, farm or business </w:t>
      </w:r>
      <w:r w:rsidR="00C449CD" w:rsidRPr="00D14842">
        <w:rPr>
          <w:lang w:val="en-NZ"/>
        </w:rPr>
        <w:t xml:space="preserve">in circumstances where the </w:t>
      </w:r>
      <w:r w:rsidR="00A50DE9" w:rsidRPr="00D14842">
        <w:rPr>
          <w:lang w:val="en-NZ"/>
        </w:rPr>
        <w:t>trustee</w:t>
      </w:r>
      <w:r w:rsidR="00C449CD" w:rsidRPr="00D14842">
        <w:rPr>
          <w:lang w:val="en-NZ"/>
        </w:rPr>
        <w:t xml:space="preserve">s knew and encouraged a reasonable expectation that the </w:t>
      </w:r>
      <w:r w:rsidR="006F4B94">
        <w:rPr>
          <w:lang w:val="en-NZ"/>
        </w:rPr>
        <w:t xml:space="preserve">he or she would </w:t>
      </w:r>
      <w:r w:rsidR="002B4690">
        <w:rPr>
          <w:lang w:val="en-NZ"/>
        </w:rPr>
        <w:t xml:space="preserve">be </w:t>
      </w:r>
      <w:r w:rsidR="006F4B94">
        <w:rPr>
          <w:lang w:val="en-NZ"/>
        </w:rPr>
        <w:t xml:space="preserve">appropriately </w:t>
      </w:r>
      <w:r w:rsidR="002B4690">
        <w:rPr>
          <w:lang w:val="en-NZ"/>
        </w:rPr>
        <w:t xml:space="preserve">rewarded </w:t>
      </w:r>
      <w:r w:rsidR="006F4B94">
        <w:rPr>
          <w:lang w:val="en-NZ"/>
        </w:rPr>
        <w:t xml:space="preserve">in due course. </w:t>
      </w:r>
      <w:r w:rsidR="00C449CD" w:rsidRPr="00D14842">
        <w:rPr>
          <w:lang w:val="en-NZ"/>
        </w:rPr>
        <w:t>Clearly</w:t>
      </w:r>
      <w:r w:rsidR="000C3593" w:rsidRPr="00D14842">
        <w:rPr>
          <w:lang w:val="en-NZ"/>
        </w:rPr>
        <w:t>,</w:t>
      </w:r>
      <w:r w:rsidR="00C449CD" w:rsidRPr="00D14842">
        <w:rPr>
          <w:lang w:val="en-NZ"/>
        </w:rPr>
        <w:t xml:space="preserve"> where </w:t>
      </w:r>
      <w:r w:rsidR="00C449CD" w:rsidRPr="00D14842">
        <w:rPr>
          <w:lang w:val="en-NZ"/>
        </w:rPr>
        <w:lastRenderedPageBreak/>
        <w:t>a claim of that character is to be pursued</w:t>
      </w:r>
      <w:r w:rsidR="000C3593" w:rsidRPr="00D14842">
        <w:rPr>
          <w:lang w:val="en-NZ"/>
        </w:rPr>
        <w:t>,</w:t>
      </w:r>
      <w:r w:rsidR="00C449CD" w:rsidRPr="00D14842">
        <w:rPr>
          <w:lang w:val="en-NZ"/>
        </w:rPr>
        <w:t xml:space="preserve"> the </w:t>
      </w:r>
      <w:r w:rsidR="00A50DE9" w:rsidRPr="00D14842">
        <w:rPr>
          <w:lang w:val="en-NZ"/>
        </w:rPr>
        <w:t>trustee</w:t>
      </w:r>
      <w:r w:rsidR="00C449CD" w:rsidRPr="00D14842">
        <w:rPr>
          <w:lang w:val="en-NZ"/>
        </w:rPr>
        <w:t xml:space="preserve">s </w:t>
      </w:r>
      <w:r w:rsidR="002B4690">
        <w:rPr>
          <w:lang w:val="en-NZ"/>
        </w:rPr>
        <w:t xml:space="preserve">must be </w:t>
      </w:r>
      <w:r w:rsidR="00C449CD" w:rsidRPr="00D14842">
        <w:rPr>
          <w:lang w:val="en-NZ"/>
        </w:rPr>
        <w:t>join</w:t>
      </w:r>
      <w:r w:rsidR="002B4690">
        <w:rPr>
          <w:lang w:val="en-NZ"/>
        </w:rPr>
        <w:t>ed</w:t>
      </w:r>
      <w:r w:rsidR="00C449CD" w:rsidRPr="00D14842">
        <w:rPr>
          <w:lang w:val="en-NZ"/>
        </w:rPr>
        <w:t xml:space="preserve"> in the arbitration agreement.</w:t>
      </w:r>
    </w:p>
    <w:p w:rsidR="000534E5" w:rsidRPr="000534E5" w:rsidRDefault="000534E5" w:rsidP="00D94137">
      <w:pPr>
        <w:rPr>
          <w:i/>
          <w:lang w:val="en-NZ"/>
        </w:rPr>
      </w:pPr>
      <w:proofErr w:type="gramStart"/>
      <w:r w:rsidRPr="000534E5">
        <w:rPr>
          <w:i/>
          <w:lang w:val="en-NZ"/>
        </w:rPr>
        <w:t>(iv) Claims</w:t>
      </w:r>
      <w:proofErr w:type="gramEnd"/>
      <w:r w:rsidRPr="000534E5">
        <w:rPr>
          <w:i/>
          <w:lang w:val="en-NZ"/>
        </w:rPr>
        <w:t xml:space="preserve"> that a family trust is a sham </w:t>
      </w:r>
    </w:p>
    <w:p w:rsidR="003503E6" w:rsidRPr="00D14842" w:rsidRDefault="003503E6" w:rsidP="00D94137">
      <w:pPr>
        <w:rPr>
          <w:lang w:val="en-NZ"/>
        </w:rPr>
      </w:pPr>
      <w:r w:rsidRPr="00D14842">
        <w:rPr>
          <w:lang w:val="en-NZ"/>
        </w:rPr>
        <w:t xml:space="preserve">A </w:t>
      </w:r>
      <w:r w:rsidR="002B4690">
        <w:rPr>
          <w:lang w:val="en-NZ"/>
        </w:rPr>
        <w:t xml:space="preserve">fourth type of trust claim </w:t>
      </w:r>
      <w:r w:rsidR="00490903">
        <w:rPr>
          <w:lang w:val="en-NZ"/>
        </w:rPr>
        <w:t xml:space="preserve">is the contention </w:t>
      </w:r>
      <w:r w:rsidRPr="00D14842">
        <w:rPr>
          <w:lang w:val="en-NZ"/>
        </w:rPr>
        <w:t xml:space="preserve">that </w:t>
      </w:r>
      <w:r w:rsidR="00490903">
        <w:rPr>
          <w:lang w:val="en-NZ"/>
        </w:rPr>
        <w:t xml:space="preserve">what purports to be </w:t>
      </w:r>
      <w:r w:rsidRPr="00D14842">
        <w:rPr>
          <w:lang w:val="en-NZ"/>
        </w:rPr>
        <w:t xml:space="preserve">a family trust is </w:t>
      </w:r>
      <w:r w:rsidR="00490903">
        <w:rPr>
          <w:lang w:val="en-NZ"/>
        </w:rPr>
        <w:t xml:space="preserve">in fact </w:t>
      </w:r>
      <w:r w:rsidRPr="00D14842">
        <w:rPr>
          <w:lang w:val="en-NZ"/>
        </w:rPr>
        <w:t>a sham.</w:t>
      </w:r>
      <w:r w:rsidR="00CE4702">
        <w:rPr>
          <w:rStyle w:val="FootnoteReference"/>
          <w:lang w:val="en-NZ"/>
        </w:rPr>
        <w:footnoteReference w:id="10"/>
      </w:r>
      <w:r w:rsidRPr="00D14842">
        <w:rPr>
          <w:lang w:val="en-NZ"/>
        </w:rPr>
        <w:t xml:space="preserve">  </w:t>
      </w:r>
      <w:r w:rsidR="000534E5">
        <w:rPr>
          <w:lang w:val="en-NZ"/>
        </w:rPr>
        <w:t>Controversial</w:t>
      </w:r>
      <w:r w:rsidR="00E45C3A">
        <w:rPr>
          <w:lang w:val="en-NZ"/>
        </w:rPr>
        <w:t xml:space="preserve"> </w:t>
      </w:r>
      <w:r w:rsidR="00490903">
        <w:rPr>
          <w:lang w:val="en-NZ"/>
        </w:rPr>
        <w:t xml:space="preserve">formulations seeking to </w:t>
      </w:r>
      <w:r w:rsidR="00490903" w:rsidRPr="00D14842">
        <w:rPr>
          <w:lang w:val="en-NZ"/>
        </w:rPr>
        <w:t>categoris</w:t>
      </w:r>
      <w:r w:rsidR="00490903">
        <w:rPr>
          <w:lang w:val="en-NZ"/>
        </w:rPr>
        <w:t xml:space="preserve">e </w:t>
      </w:r>
      <w:r w:rsidR="00E45C3A">
        <w:rPr>
          <w:lang w:val="en-NZ"/>
        </w:rPr>
        <w:t xml:space="preserve">a </w:t>
      </w:r>
      <w:r w:rsidR="00490903" w:rsidRPr="00D14842">
        <w:rPr>
          <w:lang w:val="en-NZ"/>
        </w:rPr>
        <w:t>trust as “alter-ego” or “illusory”</w:t>
      </w:r>
      <w:r w:rsidR="00E45C3A">
        <w:rPr>
          <w:lang w:val="en-NZ"/>
        </w:rPr>
        <w:t xml:space="preserve"> </w:t>
      </w:r>
      <w:r w:rsidR="00DE7A77">
        <w:rPr>
          <w:lang w:val="en-NZ"/>
        </w:rPr>
        <w:t xml:space="preserve">can be treated </w:t>
      </w:r>
      <w:r w:rsidR="00E45C3A">
        <w:rPr>
          <w:lang w:val="en-NZ"/>
        </w:rPr>
        <w:t>in the same</w:t>
      </w:r>
      <w:r w:rsidR="00DE7A77">
        <w:rPr>
          <w:lang w:val="en-NZ"/>
        </w:rPr>
        <w:t xml:space="preserve"> way for present purposes</w:t>
      </w:r>
      <w:r w:rsidR="00E45C3A">
        <w:rPr>
          <w:lang w:val="en-NZ"/>
        </w:rPr>
        <w:t>.</w:t>
      </w:r>
      <w:r w:rsidR="00490903">
        <w:rPr>
          <w:lang w:val="en-NZ"/>
        </w:rPr>
        <w:t xml:space="preserve"> If </w:t>
      </w:r>
      <w:r w:rsidRPr="00D14842">
        <w:rPr>
          <w:lang w:val="en-NZ"/>
        </w:rPr>
        <w:t>successful</w:t>
      </w:r>
      <w:r w:rsidR="00490903">
        <w:rPr>
          <w:lang w:val="en-NZ"/>
        </w:rPr>
        <w:t>, such claim</w:t>
      </w:r>
      <w:r w:rsidR="00E45C3A">
        <w:rPr>
          <w:lang w:val="en-NZ"/>
        </w:rPr>
        <w:t>s</w:t>
      </w:r>
      <w:r w:rsidR="00490903">
        <w:rPr>
          <w:lang w:val="en-NZ"/>
        </w:rPr>
        <w:t xml:space="preserve"> </w:t>
      </w:r>
      <w:r w:rsidRPr="00D14842">
        <w:rPr>
          <w:lang w:val="en-NZ"/>
        </w:rPr>
        <w:t xml:space="preserve">impact upon the proprietary interests of the trust, and indeed the very future of the trust itself.  </w:t>
      </w:r>
      <w:r w:rsidR="00490903">
        <w:rPr>
          <w:lang w:val="en-NZ"/>
        </w:rPr>
        <w:t xml:space="preserve">Clearly </w:t>
      </w:r>
      <w:r w:rsidR="00490903" w:rsidRPr="00D14842">
        <w:rPr>
          <w:lang w:val="en-NZ"/>
        </w:rPr>
        <w:t xml:space="preserve">the trustees </w:t>
      </w:r>
      <w:r w:rsidR="00490903">
        <w:rPr>
          <w:lang w:val="en-NZ"/>
        </w:rPr>
        <w:t xml:space="preserve">must be included as </w:t>
      </w:r>
      <w:r w:rsidR="00490903" w:rsidRPr="00D14842">
        <w:rPr>
          <w:lang w:val="en-NZ"/>
        </w:rPr>
        <w:t>parties to the arbitration</w:t>
      </w:r>
      <w:r w:rsidR="00DE7A77">
        <w:rPr>
          <w:lang w:val="en-NZ"/>
        </w:rPr>
        <w:t xml:space="preserve"> but there </w:t>
      </w:r>
      <w:r w:rsidR="00CE4702">
        <w:rPr>
          <w:lang w:val="en-NZ"/>
        </w:rPr>
        <w:t xml:space="preserve">is </w:t>
      </w:r>
      <w:r w:rsidR="00DE7A77">
        <w:rPr>
          <w:lang w:val="en-NZ"/>
        </w:rPr>
        <w:t xml:space="preserve">no </w:t>
      </w:r>
      <w:r w:rsidR="00490903">
        <w:rPr>
          <w:lang w:val="en-NZ"/>
        </w:rPr>
        <w:t xml:space="preserve">basis for separate </w:t>
      </w:r>
      <w:r w:rsidRPr="00D14842">
        <w:rPr>
          <w:lang w:val="en-NZ"/>
        </w:rPr>
        <w:t>representation of beneficiaries.</w:t>
      </w:r>
    </w:p>
    <w:p w:rsidR="003503E6" w:rsidRPr="00D14842" w:rsidRDefault="00E45C3A" w:rsidP="00D94137">
      <w:pPr>
        <w:rPr>
          <w:lang w:val="en-NZ"/>
        </w:rPr>
      </w:pPr>
      <w:r>
        <w:rPr>
          <w:lang w:val="en-NZ"/>
        </w:rPr>
        <w:t xml:space="preserve">In short, whenever </w:t>
      </w:r>
      <w:r w:rsidR="003503E6" w:rsidRPr="00D14842">
        <w:rPr>
          <w:lang w:val="en-NZ"/>
        </w:rPr>
        <w:t xml:space="preserve">a </w:t>
      </w:r>
      <w:r w:rsidR="00636A45">
        <w:rPr>
          <w:lang w:val="en-NZ"/>
        </w:rPr>
        <w:t>spouse seeks an order directly impact</w:t>
      </w:r>
      <w:r>
        <w:rPr>
          <w:lang w:val="en-NZ"/>
        </w:rPr>
        <w:t>ing</w:t>
      </w:r>
      <w:r w:rsidR="00636A45">
        <w:rPr>
          <w:lang w:val="en-NZ"/>
        </w:rPr>
        <w:t xml:space="preserve"> upon a trust the trustees </w:t>
      </w:r>
      <w:r>
        <w:rPr>
          <w:lang w:val="en-NZ"/>
        </w:rPr>
        <w:t xml:space="preserve">must </w:t>
      </w:r>
      <w:r w:rsidR="00D051F6">
        <w:rPr>
          <w:lang w:val="en-NZ"/>
        </w:rPr>
        <w:t>be</w:t>
      </w:r>
      <w:r w:rsidR="00636A45">
        <w:rPr>
          <w:lang w:val="en-NZ"/>
        </w:rPr>
        <w:t xml:space="preserve"> </w:t>
      </w:r>
      <w:r w:rsidR="00720B93">
        <w:rPr>
          <w:lang w:val="en-NZ"/>
        </w:rPr>
        <w:t>join</w:t>
      </w:r>
      <w:r w:rsidR="00D051F6">
        <w:rPr>
          <w:lang w:val="en-NZ"/>
        </w:rPr>
        <w:t>ed</w:t>
      </w:r>
      <w:r w:rsidR="00720B93">
        <w:rPr>
          <w:lang w:val="en-NZ"/>
        </w:rPr>
        <w:t xml:space="preserve"> in the arbitration as a party</w:t>
      </w:r>
      <w:r w:rsidR="00636A45">
        <w:rPr>
          <w:lang w:val="en-NZ"/>
        </w:rPr>
        <w:t xml:space="preserve">. </w:t>
      </w:r>
      <w:r>
        <w:rPr>
          <w:lang w:val="en-NZ"/>
        </w:rPr>
        <w:t xml:space="preserve">In the absence of potential conflict between different classes of beneficiary, or between beneficiaries and trustees, </w:t>
      </w:r>
      <w:r w:rsidR="00720B93">
        <w:rPr>
          <w:lang w:val="en-NZ"/>
        </w:rPr>
        <w:t xml:space="preserve">the trustees </w:t>
      </w:r>
      <w:r w:rsidR="00DE7A77">
        <w:rPr>
          <w:lang w:val="en-NZ"/>
        </w:rPr>
        <w:t xml:space="preserve">will be </w:t>
      </w:r>
      <w:r w:rsidR="00D051F6">
        <w:rPr>
          <w:lang w:val="en-NZ"/>
        </w:rPr>
        <w:t xml:space="preserve">fully competent to </w:t>
      </w:r>
      <w:r w:rsidR="00720B93">
        <w:rPr>
          <w:lang w:val="en-NZ"/>
        </w:rPr>
        <w:t xml:space="preserve">represent all parties to the trust. </w:t>
      </w:r>
    </w:p>
    <w:p w:rsidR="003503E6" w:rsidRDefault="002158A2" w:rsidP="005D4EA6">
      <w:pPr>
        <w:pStyle w:val="Heading1"/>
        <w:rPr>
          <w:rFonts w:ascii="Times New Roman" w:hAnsi="Times New Roman"/>
          <w:color w:val="auto"/>
          <w:sz w:val="24"/>
          <w:lang w:val="en-NZ"/>
        </w:rPr>
      </w:pPr>
      <w:r w:rsidRPr="00D14842">
        <w:rPr>
          <w:rFonts w:ascii="Times New Roman" w:hAnsi="Times New Roman"/>
          <w:color w:val="auto"/>
          <w:sz w:val="24"/>
          <w:lang w:val="en-NZ"/>
        </w:rPr>
        <w:t>Disputes</w:t>
      </w:r>
      <w:r>
        <w:rPr>
          <w:rFonts w:ascii="Times New Roman" w:hAnsi="Times New Roman"/>
          <w:color w:val="auto"/>
          <w:sz w:val="24"/>
          <w:lang w:val="en-NZ"/>
        </w:rPr>
        <w:t xml:space="preserve"> where arbitral </w:t>
      </w:r>
      <w:r w:rsidR="000974FD">
        <w:rPr>
          <w:rFonts w:ascii="Times New Roman" w:hAnsi="Times New Roman"/>
          <w:color w:val="auto"/>
          <w:sz w:val="24"/>
          <w:lang w:val="en-NZ"/>
        </w:rPr>
        <w:t xml:space="preserve">jurisdiction </w:t>
      </w:r>
      <w:r>
        <w:rPr>
          <w:rFonts w:ascii="Times New Roman" w:hAnsi="Times New Roman"/>
          <w:color w:val="auto"/>
          <w:sz w:val="24"/>
          <w:lang w:val="en-NZ"/>
        </w:rPr>
        <w:t>is doubtful</w:t>
      </w:r>
    </w:p>
    <w:p w:rsidR="00FC64AD" w:rsidRPr="00FC64AD" w:rsidRDefault="000974FD" w:rsidP="00FC64AD">
      <w:pPr>
        <w:rPr>
          <w:lang w:val="en-NZ"/>
        </w:rPr>
      </w:pPr>
      <w:r w:rsidRPr="00FC64AD">
        <w:rPr>
          <w:lang w:val="en-NZ"/>
        </w:rPr>
        <w:t xml:space="preserve">There </w:t>
      </w:r>
      <w:r w:rsidR="002158A2">
        <w:rPr>
          <w:lang w:val="en-NZ"/>
        </w:rPr>
        <w:t xml:space="preserve">remain two kinds of </w:t>
      </w:r>
      <w:r w:rsidR="00FC64AD">
        <w:rPr>
          <w:lang w:val="en-NZ"/>
        </w:rPr>
        <w:t xml:space="preserve">claim </w:t>
      </w:r>
      <w:r w:rsidR="002158A2">
        <w:rPr>
          <w:lang w:val="en-NZ"/>
        </w:rPr>
        <w:t xml:space="preserve">where </w:t>
      </w:r>
      <w:r w:rsidR="00FC64AD" w:rsidRPr="00FC64AD">
        <w:rPr>
          <w:lang w:val="en-NZ"/>
        </w:rPr>
        <w:t xml:space="preserve">arbitral jurisdiction </w:t>
      </w:r>
      <w:r w:rsidR="002158A2">
        <w:rPr>
          <w:lang w:val="en-NZ"/>
        </w:rPr>
        <w:t xml:space="preserve">is </w:t>
      </w:r>
      <w:proofErr w:type="gramStart"/>
      <w:r w:rsidR="002158A2">
        <w:rPr>
          <w:lang w:val="en-NZ"/>
        </w:rPr>
        <w:t>questionable</w:t>
      </w:r>
      <w:r w:rsidR="00790C3E">
        <w:rPr>
          <w:lang w:val="en-NZ"/>
        </w:rPr>
        <w:t xml:space="preserve">  -</w:t>
      </w:r>
      <w:proofErr w:type="gramEnd"/>
      <w:r w:rsidR="00FC64AD" w:rsidRPr="00FC64AD">
        <w:rPr>
          <w:lang w:val="en-NZ"/>
        </w:rPr>
        <w:t xml:space="preserve">  (i) </w:t>
      </w:r>
      <w:r w:rsidR="002158A2" w:rsidRPr="002E194E">
        <w:rPr>
          <w:lang w:val="en-NZ"/>
        </w:rPr>
        <w:t xml:space="preserve">Proceedings </w:t>
      </w:r>
      <w:r w:rsidR="002158A2">
        <w:rPr>
          <w:lang w:val="en-NZ"/>
        </w:rPr>
        <w:t xml:space="preserve">in which </w:t>
      </w:r>
      <w:r w:rsidR="002158A2" w:rsidRPr="002E194E">
        <w:rPr>
          <w:lang w:val="en-NZ"/>
        </w:rPr>
        <w:t xml:space="preserve">living </w:t>
      </w:r>
      <w:r w:rsidR="002158A2">
        <w:rPr>
          <w:lang w:val="en-NZ"/>
        </w:rPr>
        <w:t xml:space="preserve">or </w:t>
      </w:r>
      <w:r w:rsidR="002158A2" w:rsidRPr="002E194E">
        <w:rPr>
          <w:lang w:val="en-NZ"/>
        </w:rPr>
        <w:t xml:space="preserve">unborn children </w:t>
      </w:r>
      <w:r w:rsidR="002158A2">
        <w:rPr>
          <w:lang w:val="en-NZ"/>
        </w:rPr>
        <w:t xml:space="preserve">need to be separately represented; and </w:t>
      </w:r>
      <w:r w:rsidR="00FC64AD" w:rsidRPr="00FC64AD">
        <w:rPr>
          <w:lang w:val="en-NZ"/>
        </w:rPr>
        <w:t xml:space="preserve">(ii) claims under s 182 of the Family Proceedings Act. </w:t>
      </w:r>
    </w:p>
    <w:p w:rsidR="000534E5" w:rsidRPr="002158A2" w:rsidRDefault="002158A2" w:rsidP="000534E5">
      <w:pPr>
        <w:pStyle w:val="ListParagraph"/>
        <w:numPr>
          <w:ilvl w:val="0"/>
          <w:numId w:val="16"/>
        </w:numPr>
        <w:rPr>
          <w:i/>
          <w:lang w:val="en-NZ"/>
        </w:rPr>
      </w:pPr>
      <w:r w:rsidRPr="002158A2">
        <w:rPr>
          <w:i/>
          <w:lang w:val="en-NZ"/>
        </w:rPr>
        <w:t xml:space="preserve">Proceedings in which living or unborn children need to be separately represented </w:t>
      </w:r>
    </w:p>
    <w:p w:rsidR="0009153B" w:rsidRDefault="00211A77" w:rsidP="0009153B">
      <w:pPr>
        <w:rPr>
          <w:lang w:val="en-NZ"/>
        </w:rPr>
      </w:pPr>
      <w:r>
        <w:rPr>
          <w:lang w:val="en-NZ"/>
        </w:rPr>
        <w:t xml:space="preserve">Some forms of proceeding create the potential for conflict within a trust. </w:t>
      </w:r>
      <w:r w:rsidR="00790C3E">
        <w:rPr>
          <w:lang w:val="en-NZ"/>
        </w:rPr>
        <w:t xml:space="preserve">A </w:t>
      </w:r>
      <w:r w:rsidR="003B0D47">
        <w:rPr>
          <w:lang w:val="en-NZ"/>
        </w:rPr>
        <w:t xml:space="preserve">spouse-beneficiary </w:t>
      </w:r>
      <w:r w:rsidR="00A9435F">
        <w:rPr>
          <w:lang w:val="en-NZ"/>
        </w:rPr>
        <w:t xml:space="preserve">may </w:t>
      </w:r>
      <w:r w:rsidR="00586553">
        <w:rPr>
          <w:lang w:val="en-NZ"/>
        </w:rPr>
        <w:t xml:space="preserve">bring an action for breach of trust </w:t>
      </w:r>
      <w:r w:rsidR="00D051F6">
        <w:rPr>
          <w:lang w:val="en-NZ"/>
        </w:rPr>
        <w:t xml:space="preserve">against </w:t>
      </w:r>
      <w:r w:rsidR="003B0D47">
        <w:rPr>
          <w:lang w:val="en-NZ"/>
        </w:rPr>
        <w:t>a spouse-</w:t>
      </w:r>
      <w:proofErr w:type="gramStart"/>
      <w:r w:rsidR="00D051F6">
        <w:rPr>
          <w:lang w:val="en-NZ"/>
        </w:rPr>
        <w:t>trustee</w:t>
      </w:r>
      <w:r w:rsidR="003B0D47">
        <w:rPr>
          <w:lang w:val="en-NZ"/>
        </w:rPr>
        <w:t xml:space="preserve"> </w:t>
      </w:r>
      <w:r>
        <w:rPr>
          <w:lang w:val="en-NZ"/>
        </w:rPr>
        <w:t>,</w:t>
      </w:r>
      <w:proofErr w:type="gramEnd"/>
      <w:r>
        <w:rPr>
          <w:lang w:val="en-NZ"/>
        </w:rPr>
        <w:t xml:space="preserve"> </w:t>
      </w:r>
      <w:r w:rsidR="00C078C3">
        <w:rPr>
          <w:lang w:val="en-NZ"/>
        </w:rPr>
        <w:t xml:space="preserve">seek </w:t>
      </w:r>
      <w:r w:rsidR="0045781E">
        <w:rPr>
          <w:lang w:val="en-NZ"/>
        </w:rPr>
        <w:t xml:space="preserve">a distribution or variation of the </w:t>
      </w:r>
      <w:r w:rsidR="00C078C3">
        <w:rPr>
          <w:lang w:val="en-NZ"/>
        </w:rPr>
        <w:t xml:space="preserve">trust which </w:t>
      </w:r>
      <w:r w:rsidR="0045781E">
        <w:rPr>
          <w:lang w:val="en-NZ"/>
        </w:rPr>
        <w:t xml:space="preserve">would </w:t>
      </w:r>
      <w:r w:rsidR="00790C3E">
        <w:rPr>
          <w:lang w:val="en-NZ"/>
        </w:rPr>
        <w:t xml:space="preserve">impact upon </w:t>
      </w:r>
      <w:r w:rsidR="00C078C3">
        <w:rPr>
          <w:lang w:val="en-NZ"/>
        </w:rPr>
        <w:t>the interests of another class of beneficiar</w:t>
      </w:r>
      <w:r w:rsidR="0045781E">
        <w:rPr>
          <w:lang w:val="en-NZ"/>
        </w:rPr>
        <w:t>y</w:t>
      </w:r>
      <w:r w:rsidR="00A9435F">
        <w:rPr>
          <w:lang w:val="en-NZ"/>
        </w:rPr>
        <w:t xml:space="preserve">, or seek the exercise of the </w:t>
      </w:r>
      <w:r w:rsidR="0009153B">
        <w:rPr>
          <w:lang w:val="en-NZ"/>
        </w:rPr>
        <w:t xml:space="preserve">court’s </w:t>
      </w:r>
      <w:r w:rsidR="003B0D47">
        <w:rPr>
          <w:lang w:val="en-NZ"/>
        </w:rPr>
        <w:t xml:space="preserve">supervisory </w:t>
      </w:r>
      <w:r w:rsidR="0009153B" w:rsidRPr="00D14842">
        <w:rPr>
          <w:lang w:val="en-NZ"/>
        </w:rPr>
        <w:t xml:space="preserve">powers under Part </w:t>
      </w:r>
      <w:r>
        <w:rPr>
          <w:lang w:val="en-NZ"/>
        </w:rPr>
        <w:t xml:space="preserve">5 </w:t>
      </w:r>
      <w:r w:rsidR="0009153B" w:rsidRPr="00D14842">
        <w:rPr>
          <w:lang w:val="en-NZ"/>
        </w:rPr>
        <w:t>of the Trustee Act 1956</w:t>
      </w:r>
      <w:r w:rsidR="0009153B">
        <w:rPr>
          <w:lang w:val="en-NZ"/>
        </w:rPr>
        <w:t xml:space="preserve"> </w:t>
      </w:r>
      <w:r w:rsidR="003B0D47">
        <w:rPr>
          <w:lang w:val="en-NZ"/>
        </w:rPr>
        <w:t xml:space="preserve">or </w:t>
      </w:r>
      <w:r w:rsidR="0009153B">
        <w:rPr>
          <w:lang w:val="en-NZ"/>
        </w:rPr>
        <w:t xml:space="preserve">in equity. </w:t>
      </w:r>
      <w:r w:rsidR="0009153B" w:rsidRPr="00D14842">
        <w:rPr>
          <w:lang w:val="en-NZ"/>
        </w:rPr>
        <w:t xml:space="preserve">Examples </w:t>
      </w:r>
      <w:r w:rsidR="00A9435F">
        <w:rPr>
          <w:lang w:val="en-NZ"/>
        </w:rPr>
        <w:t xml:space="preserve">of </w:t>
      </w:r>
      <w:r w:rsidR="003B0D47">
        <w:rPr>
          <w:lang w:val="en-NZ"/>
        </w:rPr>
        <w:t xml:space="preserve">supervisory powers </w:t>
      </w:r>
      <w:r w:rsidR="00A9435F">
        <w:rPr>
          <w:lang w:val="en-NZ"/>
        </w:rPr>
        <w:t>include</w:t>
      </w:r>
      <w:r w:rsidR="0009153B" w:rsidRPr="00D14842">
        <w:rPr>
          <w:lang w:val="en-NZ"/>
        </w:rPr>
        <w:t xml:space="preserve"> the removal and replacement of trustees (s 51)</w:t>
      </w:r>
      <w:r w:rsidR="00A9435F">
        <w:rPr>
          <w:lang w:val="en-NZ"/>
        </w:rPr>
        <w:t>,</w:t>
      </w:r>
      <w:r w:rsidR="0009153B" w:rsidRPr="00D14842">
        <w:rPr>
          <w:lang w:val="en-NZ"/>
        </w:rPr>
        <w:t xml:space="preserve"> directions authorising dealings with specific trust property (s 64)</w:t>
      </w:r>
      <w:r w:rsidR="00A9435F">
        <w:rPr>
          <w:lang w:val="en-NZ"/>
        </w:rPr>
        <w:t>,</w:t>
      </w:r>
      <w:r w:rsidR="0009153B" w:rsidRPr="00D14842">
        <w:rPr>
          <w:lang w:val="en-NZ"/>
        </w:rPr>
        <w:t xml:space="preserve"> directions authorising variations of a trust (s 64A)</w:t>
      </w:r>
      <w:r w:rsidR="00A9435F">
        <w:rPr>
          <w:lang w:val="en-NZ"/>
        </w:rPr>
        <w:t>,</w:t>
      </w:r>
      <w:r w:rsidR="0009153B" w:rsidRPr="00D14842">
        <w:rPr>
          <w:lang w:val="en-NZ"/>
        </w:rPr>
        <w:t xml:space="preserve"> </w:t>
      </w:r>
      <w:r w:rsidR="00A9435F">
        <w:rPr>
          <w:lang w:val="en-NZ"/>
        </w:rPr>
        <w:t xml:space="preserve">and the exercise of </w:t>
      </w:r>
      <w:r w:rsidR="0009153B" w:rsidRPr="00D14842">
        <w:rPr>
          <w:lang w:val="en-NZ"/>
        </w:rPr>
        <w:t xml:space="preserve">similar jurisdictions enjoyed by a Court </w:t>
      </w:r>
      <w:r w:rsidR="0009153B">
        <w:rPr>
          <w:lang w:val="en-NZ"/>
        </w:rPr>
        <w:t xml:space="preserve">exercising </w:t>
      </w:r>
      <w:r w:rsidR="0009153B" w:rsidRPr="00D14842">
        <w:rPr>
          <w:lang w:val="en-NZ"/>
        </w:rPr>
        <w:t xml:space="preserve">its equitable jurisdiction.  </w:t>
      </w:r>
    </w:p>
    <w:p w:rsidR="0053096F" w:rsidRDefault="00CE4702" w:rsidP="00D051F6">
      <w:pPr>
        <w:rPr>
          <w:lang w:val="en-NZ"/>
        </w:rPr>
      </w:pPr>
      <w:r>
        <w:rPr>
          <w:lang w:val="en-NZ"/>
        </w:rPr>
        <w:t xml:space="preserve">There </w:t>
      </w:r>
      <w:r w:rsidR="00D051F6">
        <w:rPr>
          <w:lang w:val="en-NZ"/>
        </w:rPr>
        <w:t xml:space="preserve">is no difficulty </w:t>
      </w:r>
      <w:r>
        <w:rPr>
          <w:lang w:val="en-NZ"/>
        </w:rPr>
        <w:t xml:space="preserve">in these cases </w:t>
      </w:r>
      <w:r w:rsidR="00D051F6">
        <w:rPr>
          <w:lang w:val="en-NZ"/>
        </w:rPr>
        <w:t xml:space="preserve">if all </w:t>
      </w:r>
      <w:r w:rsidR="0045781E">
        <w:rPr>
          <w:lang w:val="en-NZ"/>
        </w:rPr>
        <w:t xml:space="preserve">affected interests </w:t>
      </w:r>
      <w:r w:rsidR="00D051F6">
        <w:rPr>
          <w:lang w:val="en-NZ"/>
        </w:rPr>
        <w:t xml:space="preserve">are ascertained and </w:t>
      </w:r>
      <w:r w:rsidR="0009153B">
        <w:rPr>
          <w:lang w:val="en-NZ"/>
        </w:rPr>
        <w:t xml:space="preserve">have the capacity to enter </w:t>
      </w:r>
      <w:r w:rsidR="00D051F6">
        <w:rPr>
          <w:lang w:val="en-NZ"/>
        </w:rPr>
        <w:t xml:space="preserve">into a </w:t>
      </w:r>
      <w:r w:rsidR="0045781E">
        <w:rPr>
          <w:lang w:val="en-NZ"/>
        </w:rPr>
        <w:t xml:space="preserve">binding </w:t>
      </w:r>
      <w:r w:rsidR="00D051F6">
        <w:rPr>
          <w:lang w:val="en-NZ"/>
        </w:rPr>
        <w:t xml:space="preserve">contract. </w:t>
      </w:r>
      <w:r w:rsidR="00E45C3A">
        <w:rPr>
          <w:lang w:val="en-NZ"/>
        </w:rPr>
        <w:t>A</w:t>
      </w:r>
      <w:r w:rsidR="00D051F6">
        <w:rPr>
          <w:lang w:val="en-NZ"/>
        </w:rPr>
        <w:t xml:space="preserve">ll </w:t>
      </w:r>
      <w:r w:rsidR="00586553">
        <w:rPr>
          <w:lang w:val="en-NZ"/>
        </w:rPr>
        <w:t xml:space="preserve">can </w:t>
      </w:r>
      <w:r w:rsidR="00E45C3A">
        <w:rPr>
          <w:lang w:val="en-NZ"/>
        </w:rPr>
        <w:t xml:space="preserve">then agree to have </w:t>
      </w:r>
      <w:r w:rsidR="00D051F6">
        <w:rPr>
          <w:lang w:val="en-NZ"/>
        </w:rPr>
        <w:t>their respective rights</w:t>
      </w:r>
      <w:r w:rsidR="00E45C3A">
        <w:rPr>
          <w:lang w:val="en-NZ"/>
        </w:rPr>
        <w:t xml:space="preserve"> determined by arbitration</w:t>
      </w:r>
      <w:r w:rsidR="00D051F6">
        <w:rPr>
          <w:lang w:val="en-NZ"/>
        </w:rPr>
        <w:t xml:space="preserve">. </w:t>
      </w:r>
      <w:r w:rsidR="0053096F">
        <w:rPr>
          <w:lang w:val="en-NZ"/>
        </w:rPr>
        <w:t xml:space="preserve">Typically, however, </w:t>
      </w:r>
      <w:r w:rsidR="00C078C3">
        <w:rPr>
          <w:lang w:val="en-NZ"/>
        </w:rPr>
        <w:t xml:space="preserve">a </w:t>
      </w:r>
      <w:r w:rsidR="00C078C3" w:rsidRPr="00D14842">
        <w:rPr>
          <w:lang w:val="en-NZ"/>
        </w:rPr>
        <w:t xml:space="preserve">modern family trust </w:t>
      </w:r>
      <w:r w:rsidR="00C078C3">
        <w:rPr>
          <w:lang w:val="en-NZ"/>
        </w:rPr>
        <w:t>include</w:t>
      </w:r>
      <w:r w:rsidR="003B0D47">
        <w:rPr>
          <w:lang w:val="en-NZ"/>
        </w:rPr>
        <w:t>s</w:t>
      </w:r>
      <w:r w:rsidR="00C078C3">
        <w:rPr>
          <w:lang w:val="en-NZ"/>
        </w:rPr>
        <w:t xml:space="preserve"> provision </w:t>
      </w:r>
      <w:r w:rsidR="00C078C3" w:rsidRPr="00D14842">
        <w:rPr>
          <w:lang w:val="en-NZ"/>
        </w:rPr>
        <w:t xml:space="preserve">for </w:t>
      </w:r>
      <w:r w:rsidR="00C078C3">
        <w:rPr>
          <w:lang w:val="en-NZ"/>
        </w:rPr>
        <w:t xml:space="preserve">living and unborn </w:t>
      </w:r>
      <w:r w:rsidR="00C078C3" w:rsidRPr="00D14842">
        <w:rPr>
          <w:lang w:val="en-NZ"/>
        </w:rPr>
        <w:t>children as discretionary beneficiaries</w:t>
      </w:r>
      <w:r w:rsidR="00C078C3">
        <w:rPr>
          <w:lang w:val="en-NZ"/>
        </w:rPr>
        <w:t xml:space="preserve">. </w:t>
      </w:r>
      <w:r>
        <w:rPr>
          <w:lang w:val="en-NZ"/>
        </w:rPr>
        <w:t xml:space="preserve">In </w:t>
      </w:r>
      <w:r w:rsidR="00C078C3">
        <w:rPr>
          <w:lang w:val="en-NZ"/>
        </w:rPr>
        <w:t xml:space="preserve">cases </w:t>
      </w:r>
      <w:r>
        <w:rPr>
          <w:lang w:val="en-NZ"/>
        </w:rPr>
        <w:t xml:space="preserve">of </w:t>
      </w:r>
      <w:r w:rsidR="0053096F">
        <w:rPr>
          <w:lang w:val="en-NZ"/>
        </w:rPr>
        <w:t xml:space="preserve">potential </w:t>
      </w:r>
      <w:r>
        <w:rPr>
          <w:lang w:val="en-NZ"/>
        </w:rPr>
        <w:t xml:space="preserve">conflict between beneficiaries, </w:t>
      </w:r>
      <w:r w:rsidR="00C078C3">
        <w:rPr>
          <w:lang w:val="en-NZ"/>
        </w:rPr>
        <w:t xml:space="preserve">living or unborn children </w:t>
      </w:r>
      <w:r>
        <w:rPr>
          <w:lang w:val="en-NZ"/>
        </w:rPr>
        <w:t xml:space="preserve">may need to be separately represented. Whether this class of case </w:t>
      </w:r>
      <w:r w:rsidR="00C078C3">
        <w:rPr>
          <w:lang w:val="en-NZ"/>
        </w:rPr>
        <w:t xml:space="preserve">can be </w:t>
      </w:r>
      <w:r w:rsidR="0053096F">
        <w:rPr>
          <w:lang w:val="en-NZ"/>
        </w:rPr>
        <w:t xml:space="preserve">dealt with by arbitration is presently </w:t>
      </w:r>
      <w:r w:rsidR="00211A77">
        <w:rPr>
          <w:lang w:val="en-NZ"/>
        </w:rPr>
        <w:t>controversial</w:t>
      </w:r>
      <w:r w:rsidR="0053096F">
        <w:rPr>
          <w:lang w:val="en-NZ"/>
        </w:rPr>
        <w:t>.</w:t>
      </w:r>
    </w:p>
    <w:p w:rsidR="0053096F" w:rsidRDefault="0053096F" w:rsidP="00D051F6">
      <w:pPr>
        <w:rPr>
          <w:lang w:val="en-NZ"/>
        </w:rPr>
      </w:pPr>
      <w:r>
        <w:rPr>
          <w:lang w:val="en-NZ"/>
        </w:rPr>
        <w:t xml:space="preserve">On the one hand it </w:t>
      </w:r>
      <w:r w:rsidR="00D051F6" w:rsidRPr="00D14842">
        <w:rPr>
          <w:lang w:val="en-NZ"/>
        </w:rPr>
        <w:t xml:space="preserve">has been argued that </w:t>
      </w:r>
      <w:r w:rsidR="00C078C3">
        <w:rPr>
          <w:lang w:val="en-NZ"/>
        </w:rPr>
        <w:t xml:space="preserve">as </w:t>
      </w:r>
      <w:r w:rsidR="00D051F6" w:rsidRPr="00D14842">
        <w:rPr>
          <w:lang w:val="en-NZ"/>
        </w:rPr>
        <w:t>the Courts have the power to appoint counsel to represent beneficiaries who are children, unborn or unascertained</w:t>
      </w:r>
      <w:r w:rsidR="00C078C3">
        <w:rPr>
          <w:lang w:val="en-NZ"/>
        </w:rPr>
        <w:t>,</w:t>
      </w:r>
      <w:r w:rsidR="00B42C39">
        <w:rPr>
          <w:lang w:val="en-NZ"/>
        </w:rPr>
        <w:t xml:space="preserve"> </w:t>
      </w:r>
      <w:r w:rsidR="00D051F6" w:rsidRPr="00D14842">
        <w:rPr>
          <w:lang w:val="en-NZ"/>
        </w:rPr>
        <w:t>the same power</w:t>
      </w:r>
      <w:r>
        <w:rPr>
          <w:lang w:val="en-NZ"/>
        </w:rPr>
        <w:t xml:space="preserve"> </w:t>
      </w:r>
      <w:r w:rsidR="00D051F6" w:rsidRPr="00D14842">
        <w:rPr>
          <w:lang w:val="en-NZ"/>
        </w:rPr>
        <w:t xml:space="preserve">must devolve upon arbitrators pursuant to </w:t>
      </w:r>
      <w:proofErr w:type="spellStart"/>
      <w:r w:rsidR="00D051F6" w:rsidRPr="00D14842">
        <w:rPr>
          <w:lang w:val="en-NZ"/>
        </w:rPr>
        <w:t>ss</w:t>
      </w:r>
      <w:proofErr w:type="spellEnd"/>
      <w:r w:rsidR="00D051F6" w:rsidRPr="00D14842">
        <w:rPr>
          <w:lang w:val="en-NZ"/>
        </w:rPr>
        <w:t xml:space="preserve"> 10 and 12 of the Arbitration Act 1996</w:t>
      </w:r>
      <w:r>
        <w:rPr>
          <w:lang w:val="en-NZ"/>
        </w:rPr>
        <w:t xml:space="preserve">. On that view </w:t>
      </w:r>
      <w:r>
        <w:rPr>
          <w:lang w:val="en-NZ"/>
        </w:rPr>
        <w:lastRenderedPageBreak/>
        <w:t xml:space="preserve">all </w:t>
      </w:r>
      <w:r w:rsidR="00C078C3">
        <w:rPr>
          <w:lang w:val="en-NZ"/>
        </w:rPr>
        <w:t xml:space="preserve">adult </w:t>
      </w:r>
      <w:r>
        <w:rPr>
          <w:lang w:val="en-NZ"/>
        </w:rPr>
        <w:t>parties can sign an arbitration agreement, all possible interests can be effectively represented</w:t>
      </w:r>
      <w:r w:rsidR="00C078C3">
        <w:rPr>
          <w:lang w:val="en-NZ"/>
        </w:rPr>
        <w:t xml:space="preserve"> by counsel or adults appointed for the purpose</w:t>
      </w:r>
      <w:r>
        <w:rPr>
          <w:lang w:val="en-NZ"/>
        </w:rPr>
        <w:t xml:space="preserve">, and </w:t>
      </w:r>
      <w:r w:rsidR="00D051F6" w:rsidRPr="00D14842">
        <w:rPr>
          <w:lang w:val="en-NZ"/>
        </w:rPr>
        <w:t xml:space="preserve">an arbitrator </w:t>
      </w:r>
      <w:r>
        <w:rPr>
          <w:lang w:val="en-NZ"/>
        </w:rPr>
        <w:t xml:space="preserve">can </w:t>
      </w:r>
      <w:r w:rsidR="00D051F6" w:rsidRPr="00D14842">
        <w:rPr>
          <w:lang w:val="en-NZ"/>
        </w:rPr>
        <w:t>determine rights between all classes of beneficiary.</w:t>
      </w:r>
      <w:r w:rsidR="00A9435F">
        <w:rPr>
          <w:rStyle w:val="FootnoteReference"/>
          <w:lang w:val="en-NZ"/>
        </w:rPr>
        <w:footnoteReference w:id="11"/>
      </w:r>
      <w:r w:rsidR="00D051F6" w:rsidRPr="00D14842">
        <w:rPr>
          <w:lang w:val="en-NZ"/>
        </w:rPr>
        <w:t xml:space="preserve"> </w:t>
      </w:r>
    </w:p>
    <w:p w:rsidR="0053096F" w:rsidRDefault="00D051F6" w:rsidP="00D051F6">
      <w:pPr>
        <w:rPr>
          <w:lang w:val="en-NZ"/>
        </w:rPr>
      </w:pPr>
      <w:r w:rsidRPr="00D14842">
        <w:rPr>
          <w:lang w:val="en-NZ"/>
        </w:rPr>
        <w:t>The more conservative view</w:t>
      </w:r>
      <w:r w:rsidR="0053096F">
        <w:rPr>
          <w:lang w:val="en-NZ"/>
        </w:rPr>
        <w:t>, however,</w:t>
      </w:r>
      <w:r w:rsidRPr="00D14842">
        <w:rPr>
          <w:lang w:val="en-NZ"/>
        </w:rPr>
        <w:t xml:space="preserve"> is </w:t>
      </w:r>
      <w:proofErr w:type="gramStart"/>
      <w:r w:rsidRPr="00D14842">
        <w:rPr>
          <w:lang w:val="en-NZ"/>
        </w:rPr>
        <w:t>that arbitrators</w:t>
      </w:r>
      <w:proofErr w:type="gramEnd"/>
      <w:r w:rsidRPr="00D14842">
        <w:rPr>
          <w:lang w:val="en-NZ"/>
        </w:rPr>
        <w:t xml:space="preserve"> do not have </w:t>
      </w:r>
      <w:r w:rsidR="0053096F">
        <w:rPr>
          <w:lang w:val="en-NZ"/>
        </w:rPr>
        <w:t xml:space="preserve">such </w:t>
      </w:r>
      <w:r w:rsidRPr="00D14842">
        <w:rPr>
          <w:lang w:val="en-NZ"/>
        </w:rPr>
        <w:t>power</w:t>
      </w:r>
      <w:r w:rsidR="0053096F">
        <w:rPr>
          <w:lang w:val="en-NZ"/>
        </w:rPr>
        <w:t>s</w:t>
      </w:r>
      <w:r w:rsidRPr="00D14842">
        <w:rPr>
          <w:lang w:val="en-NZ"/>
        </w:rPr>
        <w:t xml:space="preserve">, at least </w:t>
      </w:r>
      <w:r w:rsidR="0053096F">
        <w:rPr>
          <w:lang w:val="en-NZ"/>
        </w:rPr>
        <w:t xml:space="preserve">if relying upon </w:t>
      </w:r>
      <w:r w:rsidRPr="00D14842">
        <w:rPr>
          <w:lang w:val="en-NZ"/>
        </w:rPr>
        <w:t xml:space="preserve">arbitration clauses </w:t>
      </w:r>
      <w:r w:rsidR="0053096F">
        <w:rPr>
          <w:lang w:val="en-NZ"/>
        </w:rPr>
        <w:t xml:space="preserve">already embedded </w:t>
      </w:r>
      <w:r w:rsidRPr="00D14842">
        <w:rPr>
          <w:lang w:val="en-NZ"/>
        </w:rPr>
        <w:t xml:space="preserve">in </w:t>
      </w:r>
      <w:r w:rsidR="0053096F">
        <w:rPr>
          <w:lang w:val="en-NZ"/>
        </w:rPr>
        <w:t xml:space="preserve">the relevant </w:t>
      </w:r>
      <w:r w:rsidRPr="00D14842">
        <w:rPr>
          <w:lang w:val="en-NZ"/>
        </w:rPr>
        <w:t>trust deed.</w:t>
      </w:r>
      <w:r w:rsidR="00A9435F">
        <w:rPr>
          <w:rStyle w:val="FootnoteReference"/>
          <w:lang w:val="en-NZ"/>
        </w:rPr>
        <w:footnoteReference w:id="12"/>
      </w:r>
      <w:r w:rsidRPr="00D14842">
        <w:rPr>
          <w:lang w:val="en-NZ"/>
        </w:rPr>
        <w:t xml:space="preserve">  </w:t>
      </w:r>
      <w:r w:rsidR="003301E6">
        <w:rPr>
          <w:lang w:val="en-NZ"/>
        </w:rPr>
        <w:t xml:space="preserve">Supporting this view is the </w:t>
      </w:r>
      <w:r w:rsidR="000E5FBE">
        <w:rPr>
          <w:lang w:val="en-NZ"/>
        </w:rPr>
        <w:t xml:space="preserve">traditional </w:t>
      </w:r>
      <w:r w:rsidR="003301E6">
        <w:rPr>
          <w:lang w:val="en-NZ"/>
        </w:rPr>
        <w:t xml:space="preserve">role of the courts as the guardians of </w:t>
      </w:r>
      <w:r w:rsidR="00A9435F">
        <w:rPr>
          <w:lang w:val="en-NZ"/>
        </w:rPr>
        <w:t xml:space="preserve">the </w:t>
      </w:r>
      <w:r w:rsidR="003301E6">
        <w:rPr>
          <w:lang w:val="en-NZ"/>
        </w:rPr>
        <w:t>welfare</w:t>
      </w:r>
      <w:r w:rsidR="00A9435F">
        <w:rPr>
          <w:lang w:val="en-NZ"/>
        </w:rPr>
        <w:t xml:space="preserve"> of children</w:t>
      </w:r>
      <w:r w:rsidR="003301E6">
        <w:rPr>
          <w:lang w:val="en-NZ"/>
        </w:rPr>
        <w:t xml:space="preserve">. </w:t>
      </w:r>
    </w:p>
    <w:p w:rsidR="00D051F6" w:rsidRPr="00D14842" w:rsidRDefault="00D051F6" w:rsidP="00D051F6">
      <w:pPr>
        <w:rPr>
          <w:lang w:val="en-NZ"/>
        </w:rPr>
      </w:pPr>
      <w:r w:rsidRPr="00D14842">
        <w:rPr>
          <w:lang w:val="en-NZ"/>
        </w:rPr>
        <w:t>Until there is a definitive decision on the point the</w:t>
      </w:r>
      <w:r w:rsidR="0045781E">
        <w:rPr>
          <w:lang w:val="en-NZ"/>
        </w:rPr>
        <w:t xml:space="preserve">re must </w:t>
      </w:r>
      <w:r w:rsidR="003B0D47">
        <w:rPr>
          <w:lang w:val="en-NZ"/>
        </w:rPr>
        <w:t xml:space="preserve">remain </w:t>
      </w:r>
      <w:r w:rsidR="0045781E">
        <w:rPr>
          <w:lang w:val="en-NZ"/>
        </w:rPr>
        <w:t>a</w:t>
      </w:r>
      <w:r w:rsidRPr="00D14842">
        <w:rPr>
          <w:lang w:val="en-NZ"/>
        </w:rPr>
        <w:t xml:space="preserve"> risk that an unsympathetic Court will set aside </w:t>
      </w:r>
      <w:proofErr w:type="gramStart"/>
      <w:r w:rsidR="009C64A8">
        <w:rPr>
          <w:lang w:val="en-NZ"/>
        </w:rPr>
        <w:t xml:space="preserve">an </w:t>
      </w:r>
      <w:r w:rsidR="00B42C39">
        <w:rPr>
          <w:lang w:val="en-NZ"/>
        </w:rPr>
        <w:t>arbitration</w:t>
      </w:r>
      <w:proofErr w:type="gramEnd"/>
      <w:r w:rsidR="00B42C39">
        <w:rPr>
          <w:lang w:val="en-NZ"/>
        </w:rPr>
        <w:t xml:space="preserve"> </w:t>
      </w:r>
      <w:r w:rsidRPr="00D14842">
        <w:rPr>
          <w:lang w:val="en-NZ"/>
        </w:rPr>
        <w:t>award</w:t>
      </w:r>
      <w:r w:rsidR="003301E6">
        <w:rPr>
          <w:lang w:val="en-NZ"/>
        </w:rPr>
        <w:t xml:space="preserve"> </w:t>
      </w:r>
      <w:r w:rsidR="009C64A8">
        <w:rPr>
          <w:lang w:val="en-NZ"/>
        </w:rPr>
        <w:t xml:space="preserve">which </w:t>
      </w:r>
      <w:r w:rsidR="0053096F">
        <w:rPr>
          <w:lang w:val="en-NZ"/>
        </w:rPr>
        <w:t>purport</w:t>
      </w:r>
      <w:r w:rsidR="009C64A8">
        <w:rPr>
          <w:lang w:val="en-NZ"/>
        </w:rPr>
        <w:t>s</w:t>
      </w:r>
      <w:r w:rsidR="0053096F">
        <w:rPr>
          <w:lang w:val="en-NZ"/>
        </w:rPr>
        <w:t xml:space="preserve"> to determine the rights of </w:t>
      </w:r>
      <w:r w:rsidR="0045781E">
        <w:rPr>
          <w:lang w:val="en-NZ"/>
        </w:rPr>
        <w:t>children</w:t>
      </w:r>
      <w:r w:rsidR="00B42C39">
        <w:rPr>
          <w:lang w:val="en-NZ"/>
        </w:rPr>
        <w:t xml:space="preserve">. </w:t>
      </w:r>
      <w:r w:rsidR="0053096F">
        <w:rPr>
          <w:lang w:val="en-NZ"/>
        </w:rPr>
        <w:t xml:space="preserve"> </w:t>
      </w:r>
      <w:r w:rsidR="00B42C39" w:rsidRPr="00D14842">
        <w:rPr>
          <w:lang w:val="en-NZ"/>
        </w:rPr>
        <w:t xml:space="preserve">The </w:t>
      </w:r>
      <w:r w:rsidR="003301E6">
        <w:rPr>
          <w:lang w:val="en-NZ"/>
        </w:rPr>
        <w:t xml:space="preserve">legal </w:t>
      </w:r>
      <w:r w:rsidRPr="00D14842">
        <w:rPr>
          <w:lang w:val="en-NZ"/>
        </w:rPr>
        <w:t xml:space="preserve">grounds </w:t>
      </w:r>
      <w:r w:rsidR="00B42C39">
        <w:rPr>
          <w:lang w:val="en-NZ"/>
        </w:rPr>
        <w:t xml:space="preserve">for setting aside could be </w:t>
      </w:r>
      <w:r w:rsidR="003301E6">
        <w:rPr>
          <w:lang w:val="en-NZ"/>
        </w:rPr>
        <w:t xml:space="preserve">formulated </w:t>
      </w:r>
      <w:r w:rsidR="00B42C39">
        <w:rPr>
          <w:lang w:val="en-NZ"/>
        </w:rPr>
        <w:t xml:space="preserve">as </w:t>
      </w:r>
      <w:r w:rsidRPr="00D14842">
        <w:rPr>
          <w:lang w:val="en-NZ"/>
        </w:rPr>
        <w:t>incapacity, inability to present a party’s case</w:t>
      </w:r>
      <w:r w:rsidR="00B42C39">
        <w:rPr>
          <w:lang w:val="en-NZ"/>
        </w:rPr>
        <w:t>,</w:t>
      </w:r>
      <w:r w:rsidRPr="00D14842">
        <w:rPr>
          <w:lang w:val="en-NZ"/>
        </w:rPr>
        <w:t xml:space="preserve"> or conflict with public policy</w:t>
      </w:r>
      <w:r w:rsidR="00B42C39">
        <w:rPr>
          <w:lang w:val="en-NZ"/>
        </w:rPr>
        <w:t>,</w:t>
      </w:r>
      <w:r w:rsidRPr="00D14842">
        <w:rPr>
          <w:lang w:val="en-NZ"/>
        </w:rPr>
        <w:t xml:space="preserve"> in terms of art 34(2</w:t>
      </w:r>
      <w:r w:rsidR="00B42C39">
        <w:rPr>
          <w:lang w:val="en-NZ"/>
        </w:rPr>
        <w:t xml:space="preserve">) of </w:t>
      </w:r>
      <w:proofErr w:type="spellStart"/>
      <w:r w:rsidR="00B42C39">
        <w:rPr>
          <w:lang w:val="en-NZ"/>
        </w:rPr>
        <w:t>sched</w:t>
      </w:r>
      <w:proofErr w:type="spellEnd"/>
      <w:r w:rsidR="00B42C39">
        <w:rPr>
          <w:lang w:val="en-NZ"/>
        </w:rPr>
        <w:t xml:space="preserve"> 1 to the Arbitration Act. </w:t>
      </w:r>
      <w:r w:rsidR="0045781E">
        <w:rPr>
          <w:lang w:val="en-NZ"/>
        </w:rPr>
        <w:t xml:space="preserve">The same grounds could be adopted under art 36 </w:t>
      </w:r>
      <w:r w:rsidR="009C64A8">
        <w:rPr>
          <w:lang w:val="en-NZ"/>
        </w:rPr>
        <w:t xml:space="preserve">as a basis for declining to </w:t>
      </w:r>
      <w:r w:rsidR="003301E6">
        <w:rPr>
          <w:lang w:val="en-NZ"/>
        </w:rPr>
        <w:t>enforce an award</w:t>
      </w:r>
      <w:r w:rsidR="009C64A8">
        <w:rPr>
          <w:lang w:val="en-NZ"/>
        </w:rPr>
        <w:t>.</w:t>
      </w:r>
      <w:r w:rsidR="003301E6">
        <w:rPr>
          <w:lang w:val="en-NZ"/>
        </w:rPr>
        <w:t xml:space="preserve"> </w:t>
      </w:r>
    </w:p>
    <w:p w:rsidR="000534E5" w:rsidRPr="000534E5" w:rsidRDefault="000534E5" w:rsidP="000534E5">
      <w:pPr>
        <w:pStyle w:val="ListParagraph"/>
        <w:numPr>
          <w:ilvl w:val="0"/>
          <w:numId w:val="16"/>
        </w:numPr>
        <w:rPr>
          <w:i/>
          <w:lang w:val="en-NZ"/>
        </w:rPr>
      </w:pPr>
      <w:r w:rsidRPr="000534E5">
        <w:rPr>
          <w:i/>
          <w:lang w:val="en-NZ"/>
        </w:rPr>
        <w:t>Claims under s 182 of the Family Proceedings Act</w:t>
      </w:r>
    </w:p>
    <w:p w:rsidR="004A7E86" w:rsidRDefault="009C64A8" w:rsidP="00954C29">
      <w:pPr>
        <w:rPr>
          <w:lang w:val="en-NZ"/>
        </w:rPr>
      </w:pPr>
      <w:r>
        <w:rPr>
          <w:lang w:val="en-NZ"/>
        </w:rPr>
        <w:t xml:space="preserve">A different kind of trust claim is possible under s </w:t>
      </w:r>
      <w:r w:rsidR="00B42C39">
        <w:rPr>
          <w:lang w:val="en-NZ"/>
        </w:rPr>
        <w:t xml:space="preserve">182 of the </w:t>
      </w:r>
      <w:r w:rsidR="00B42C39" w:rsidRPr="00D14842">
        <w:rPr>
          <w:lang w:val="en-NZ"/>
        </w:rPr>
        <w:t>Family Proceedings Act 1980</w:t>
      </w:r>
      <w:r>
        <w:rPr>
          <w:lang w:val="en-NZ"/>
        </w:rPr>
        <w:t>.</w:t>
      </w:r>
      <w:r w:rsidR="00B42C39">
        <w:rPr>
          <w:lang w:val="en-NZ"/>
        </w:rPr>
        <w:t xml:space="preserve"> </w:t>
      </w:r>
      <w:r w:rsidR="00954C29">
        <w:rPr>
          <w:lang w:val="en-NZ"/>
        </w:rPr>
        <w:t>On dissolution of marriage or civil union</w:t>
      </w:r>
      <w:r w:rsidR="000E5FBE">
        <w:rPr>
          <w:lang w:val="en-NZ"/>
        </w:rPr>
        <w:t>,</w:t>
      </w:r>
      <w:r w:rsidR="00954C29">
        <w:rPr>
          <w:lang w:val="en-NZ"/>
        </w:rPr>
        <w:t xml:space="preserve"> either </w:t>
      </w:r>
      <w:r>
        <w:rPr>
          <w:lang w:val="en-NZ"/>
        </w:rPr>
        <w:t xml:space="preserve">spouse </w:t>
      </w:r>
      <w:r w:rsidR="00954C29">
        <w:rPr>
          <w:lang w:val="en-NZ"/>
        </w:rPr>
        <w:t xml:space="preserve">can apply </w:t>
      </w:r>
      <w:r w:rsidR="006561B6" w:rsidRPr="00D14842">
        <w:rPr>
          <w:lang w:val="en-NZ"/>
        </w:rPr>
        <w:t>to vary a</w:t>
      </w:r>
      <w:r w:rsidR="00954C29">
        <w:rPr>
          <w:lang w:val="en-NZ"/>
        </w:rPr>
        <w:t>n existing</w:t>
      </w:r>
      <w:r w:rsidR="006561B6" w:rsidRPr="00D14842">
        <w:rPr>
          <w:lang w:val="en-NZ"/>
        </w:rPr>
        <w:t xml:space="preserve"> </w:t>
      </w:r>
      <w:r w:rsidR="00954C29">
        <w:rPr>
          <w:lang w:val="en-NZ"/>
        </w:rPr>
        <w:t xml:space="preserve">pre-nuptial or post-nuptial settlement </w:t>
      </w:r>
      <w:r w:rsidR="006561B6" w:rsidRPr="00D14842">
        <w:rPr>
          <w:lang w:val="en-NZ"/>
        </w:rPr>
        <w:t xml:space="preserve">or </w:t>
      </w:r>
      <w:r w:rsidR="00954C29">
        <w:rPr>
          <w:lang w:val="en-NZ"/>
        </w:rPr>
        <w:t xml:space="preserve">make orders as to the application of the trust </w:t>
      </w:r>
      <w:r w:rsidR="006561B6" w:rsidRPr="00D14842">
        <w:rPr>
          <w:lang w:val="en-NZ"/>
        </w:rPr>
        <w:t>property.  Typically, spouse</w:t>
      </w:r>
      <w:r w:rsidR="00720B93">
        <w:rPr>
          <w:lang w:val="en-NZ"/>
        </w:rPr>
        <w:t>s</w:t>
      </w:r>
      <w:r w:rsidR="006561B6" w:rsidRPr="00D14842">
        <w:rPr>
          <w:lang w:val="en-NZ"/>
        </w:rPr>
        <w:t xml:space="preserve"> seek to use this provision to convert an interest as </w:t>
      </w:r>
      <w:r>
        <w:rPr>
          <w:lang w:val="en-NZ"/>
        </w:rPr>
        <w:t xml:space="preserve">mere </w:t>
      </w:r>
      <w:r w:rsidR="006561B6" w:rsidRPr="00D14842">
        <w:rPr>
          <w:lang w:val="en-NZ"/>
        </w:rPr>
        <w:t>discretionary beneficiary into an entitlement to specific property or capital</w:t>
      </w:r>
      <w:r w:rsidR="004A7E86">
        <w:rPr>
          <w:lang w:val="en-NZ"/>
        </w:rPr>
        <w:t xml:space="preserve">. </w:t>
      </w:r>
      <w:r w:rsidR="004A7E86" w:rsidRPr="00D14842">
        <w:rPr>
          <w:lang w:val="en-NZ"/>
        </w:rPr>
        <w:t xml:space="preserve">The </w:t>
      </w:r>
      <w:r w:rsidR="006561B6" w:rsidRPr="00D14842">
        <w:rPr>
          <w:lang w:val="en-NZ"/>
        </w:rPr>
        <w:t xml:space="preserve">ground </w:t>
      </w:r>
      <w:r w:rsidR="00954C29">
        <w:rPr>
          <w:lang w:val="en-NZ"/>
        </w:rPr>
        <w:t xml:space="preserve">usually </w:t>
      </w:r>
      <w:r w:rsidR="004A7E86">
        <w:rPr>
          <w:lang w:val="en-NZ"/>
        </w:rPr>
        <w:t xml:space="preserve">advanced is </w:t>
      </w:r>
      <w:r w:rsidR="000E5FBE">
        <w:rPr>
          <w:lang w:val="en-NZ"/>
        </w:rPr>
        <w:t>that once there is a divorce</w:t>
      </w:r>
      <w:r w:rsidR="00954C29">
        <w:rPr>
          <w:lang w:val="en-NZ"/>
        </w:rPr>
        <w:t>,</w:t>
      </w:r>
      <w:r w:rsidR="004A7E86">
        <w:rPr>
          <w:lang w:val="en-NZ"/>
        </w:rPr>
        <w:t xml:space="preserve"> </w:t>
      </w:r>
      <w:r w:rsidR="006561B6" w:rsidRPr="00D14842">
        <w:rPr>
          <w:lang w:val="en-NZ"/>
        </w:rPr>
        <w:t xml:space="preserve">the spouse who retains direct or indirect control over the trust </w:t>
      </w:r>
      <w:r w:rsidR="000E5FBE">
        <w:rPr>
          <w:lang w:val="en-NZ"/>
        </w:rPr>
        <w:t xml:space="preserve">is unlikely </w:t>
      </w:r>
      <w:r w:rsidR="006561B6" w:rsidRPr="00D14842">
        <w:rPr>
          <w:lang w:val="en-NZ"/>
        </w:rPr>
        <w:t xml:space="preserve">to </w:t>
      </w:r>
      <w:r w:rsidR="000E5FBE">
        <w:rPr>
          <w:lang w:val="en-NZ"/>
        </w:rPr>
        <w:t xml:space="preserve">continue distributions </w:t>
      </w:r>
      <w:r w:rsidR="006561B6" w:rsidRPr="00D14842">
        <w:rPr>
          <w:lang w:val="en-NZ"/>
        </w:rPr>
        <w:t xml:space="preserve">to the </w:t>
      </w:r>
      <w:r>
        <w:rPr>
          <w:lang w:val="en-NZ"/>
        </w:rPr>
        <w:t xml:space="preserve">other </w:t>
      </w:r>
      <w:r w:rsidR="004A7E86">
        <w:rPr>
          <w:lang w:val="en-NZ"/>
        </w:rPr>
        <w:t>spouse</w:t>
      </w:r>
      <w:r w:rsidR="003B0D47">
        <w:rPr>
          <w:lang w:val="en-NZ"/>
        </w:rPr>
        <w:t xml:space="preserve"> in </w:t>
      </w:r>
      <w:r w:rsidR="000E5FBE">
        <w:rPr>
          <w:lang w:val="en-NZ"/>
        </w:rPr>
        <w:t xml:space="preserve">that spouse’s </w:t>
      </w:r>
      <w:r w:rsidR="003B0D47">
        <w:rPr>
          <w:lang w:val="en-NZ"/>
        </w:rPr>
        <w:t>capacity as a beneficiary</w:t>
      </w:r>
      <w:r w:rsidR="006561B6" w:rsidRPr="00D14842">
        <w:rPr>
          <w:lang w:val="en-NZ"/>
        </w:rPr>
        <w:t>.</w:t>
      </w:r>
      <w:bookmarkStart w:id="2" w:name="_Ref400012680"/>
      <w:r w:rsidR="006A34AA">
        <w:rPr>
          <w:rStyle w:val="FootnoteReference"/>
          <w:lang w:val="en-NZ"/>
        </w:rPr>
        <w:footnoteReference w:id="13"/>
      </w:r>
      <w:bookmarkEnd w:id="2"/>
      <w:r w:rsidR="006561B6" w:rsidRPr="00D14842">
        <w:rPr>
          <w:lang w:val="en-NZ"/>
        </w:rPr>
        <w:t xml:space="preserve">  </w:t>
      </w:r>
    </w:p>
    <w:p w:rsidR="00A24EDD" w:rsidRDefault="006A34AA" w:rsidP="00D90909">
      <w:pPr>
        <w:rPr>
          <w:lang w:val="en-NZ"/>
        </w:rPr>
      </w:pPr>
      <w:r>
        <w:rPr>
          <w:lang w:val="en-NZ"/>
        </w:rPr>
        <w:t xml:space="preserve">In its own terms s </w:t>
      </w:r>
      <w:r w:rsidR="00EC55C6" w:rsidRPr="00D14842">
        <w:rPr>
          <w:lang w:val="en-NZ"/>
        </w:rPr>
        <w:t xml:space="preserve">182 is confined to cases in which (i) a legal marriage or civil union is dissolved, (ii) the trust in question is a prenuptial or postnuptial settlement, (iii) the grounds for an order can be satisfied on the merits and (iv) the order would not defeat or vary any agreement that had been made under s 21 of the PRA unless required in the interests of children. </w:t>
      </w:r>
      <w:r w:rsidR="00A24EDD" w:rsidRPr="00D14842">
        <w:rPr>
          <w:lang w:val="en-NZ"/>
        </w:rPr>
        <w:t xml:space="preserve">The scope for relief under s 182 has diminished since </w:t>
      </w:r>
      <w:r w:rsidR="009C64A8">
        <w:rPr>
          <w:lang w:val="en-NZ"/>
        </w:rPr>
        <w:t xml:space="preserve">an </w:t>
      </w:r>
      <w:r w:rsidR="00A24EDD">
        <w:rPr>
          <w:lang w:val="en-NZ"/>
        </w:rPr>
        <w:t xml:space="preserve">increased </w:t>
      </w:r>
      <w:r w:rsidR="00A24EDD" w:rsidRPr="00D14842">
        <w:rPr>
          <w:lang w:val="en-NZ"/>
        </w:rPr>
        <w:t xml:space="preserve">emphasis </w:t>
      </w:r>
      <w:r w:rsidR="009C64A8">
        <w:rPr>
          <w:lang w:val="en-NZ"/>
        </w:rPr>
        <w:t xml:space="preserve">was placed </w:t>
      </w:r>
      <w:r w:rsidR="00A24EDD" w:rsidRPr="00D14842">
        <w:rPr>
          <w:lang w:val="en-NZ"/>
        </w:rPr>
        <w:t>on a comparison between expectations at the time of settlement and those following break</w:t>
      </w:r>
      <w:r w:rsidR="00EC55C6">
        <w:rPr>
          <w:lang w:val="en-NZ"/>
        </w:rPr>
        <w:t>-</w:t>
      </w:r>
      <w:r w:rsidR="00A24EDD" w:rsidRPr="00D14842">
        <w:rPr>
          <w:lang w:val="en-NZ"/>
        </w:rPr>
        <w:t xml:space="preserve">up </w:t>
      </w:r>
      <w:r w:rsidR="00EC55C6">
        <w:rPr>
          <w:lang w:val="en-NZ"/>
        </w:rPr>
        <w:t xml:space="preserve">of the marriage </w:t>
      </w:r>
      <w:r w:rsidR="009C64A8">
        <w:rPr>
          <w:lang w:val="en-NZ"/>
        </w:rPr>
        <w:t>along with other discretionary hurdles</w:t>
      </w:r>
      <w:r w:rsidR="00A24EDD" w:rsidRPr="00D14842">
        <w:rPr>
          <w:lang w:val="en-NZ"/>
        </w:rPr>
        <w:t>.</w:t>
      </w:r>
      <w:bookmarkStart w:id="3" w:name="_Ref400012645"/>
      <w:r>
        <w:rPr>
          <w:rStyle w:val="FootnoteReference"/>
          <w:lang w:val="en-NZ"/>
        </w:rPr>
        <w:footnoteReference w:id="14"/>
      </w:r>
      <w:bookmarkEnd w:id="3"/>
      <w:r w:rsidR="00A24EDD" w:rsidRPr="00D14842">
        <w:rPr>
          <w:lang w:val="en-NZ"/>
        </w:rPr>
        <w:t xml:space="preserve"> </w:t>
      </w:r>
      <w:r w:rsidR="00A24EDD">
        <w:rPr>
          <w:lang w:val="en-NZ"/>
        </w:rPr>
        <w:t>Nevertheless it remains an important weapon in the armoury of spouses seek</w:t>
      </w:r>
      <w:r w:rsidR="009C64A8">
        <w:rPr>
          <w:lang w:val="en-NZ"/>
        </w:rPr>
        <w:t>ing</w:t>
      </w:r>
      <w:r w:rsidR="00A24EDD">
        <w:rPr>
          <w:lang w:val="en-NZ"/>
        </w:rPr>
        <w:t xml:space="preserve"> access to trust property. </w:t>
      </w:r>
    </w:p>
    <w:p w:rsidR="006A34AA" w:rsidRDefault="00954C29" w:rsidP="00D90909">
      <w:pPr>
        <w:rPr>
          <w:lang w:val="en-NZ"/>
        </w:rPr>
      </w:pPr>
      <w:r>
        <w:rPr>
          <w:lang w:val="en-NZ"/>
        </w:rPr>
        <w:t xml:space="preserve">It is uncertain whether an arbitrator could be given jurisdiction under s 182 by agreement. On the one hand </w:t>
      </w:r>
      <w:r w:rsidR="0009023E" w:rsidRPr="00D14842">
        <w:rPr>
          <w:lang w:val="en-NZ"/>
        </w:rPr>
        <w:t xml:space="preserve">it could be argued that the lack of reference to arbitration in the Family Proceedings Act is </w:t>
      </w:r>
      <w:r>
        <w:rPr>
          <w:lang w:val="en-NZ"/>
        </w:rPr>
        <w:t xml:space="preserve">not a bar given that </w:t>
      </w:r>
      <w:proofErr w:type="spellStart"/>
      <w:r w:rsidR="0009023E" w:rsidRPr="00D14842">
        <w:rPr>
          <w:lang w:val="en-NZ"/>
        </w:rPr>
        <w:t>s</w:t>
      </w:r>
      <w:r>
        <w:rPr>
          <w:lang w:val="en-NZ"/>
        </w:rPr>
        <w:t>s</w:t>
      </w:r>
      <w:proofErr w:type="spellEnd"/>
      <w:r w:rsidR="0009023E" w:rsidRPr="00D14842">
        <w:rPr>
          <w:lang w:val="en-NZ"/>
        </w:rPr>
        <w:t xml:space="preserve"> 10 </w:t>
      </w:r>
      <w:r>
        <w:rPr>
          <w:lang w:val="en-NZ"/>
        </w:rPr>
        <w:t xml:space="preserve">and 12 </w:t>
      </w:r>
      <w:r w:rsidR="0009023E" w:rsidRPr="00D14842">
        <w:rPr>
          <w:lang w:val="en-NZ"/>
        </w:rPr>
        <w:t>of the Arbitration Act 1996</w:t>
      </w:r>
      <w:r>
        <w:rPr>
          <w:lang w:val="en-NZ"/>
        </w:rPr>
        <w:t xml:space="preserve"> broadly equate the powers of an arbitrator with the powers of the Court. </w:t>
      </w:r>
      <w:r w:rsidR="0009023E" w:rsidRPr="00D14842">
        <w:rPr>
          <w:lang w:val="en-NZ"/>
        </w:rPr>
        <w:t xml:space="preserve"> </w:t>
      </w:r>
      <w:r w:rsidR="000B2DC8">
        <w:rPr>
          <w:lang w:val="en-NZ"/>
        </w:rPr>
        <w:t>On the other it could be argued that there are two obstacles</w:t>
      </w:r>
      <w:r w:rsidR="00F60F59">
        <w:rPr>
          <w:lang w:val="en-NZ"/>
        </w:rPr>
        <w:t xml:space="preserve"> to jurisdiction</w:t>
      </w:r>
      <w:r w:rsidR="000B2DC8">
        <w:rPr>
          <w:lang w:val="en-NZ"/>
        </w:rPr>
        <w:t xml:space="preserve">. One is </w:t>
      </w:r>
      <w:r w:rsidR="00F60F59">
        <w:rPr>
          <w:lang w:val="en-NZ"/>
        </w:rPr>
        <w:t xml:space="preserve">the </w:t>
      </w:r>
      <w:r w:rsidR="006D2896">
        <w:rPr>
          <w:lang w:val="en-NZ"/>
        </w:rPr>
        <w:t xml:space="preserve">potential need for </w:t>
      </w:r>
      <w:r w:rsidR="000B2DC8">
        <w:rPr>
          <w:lang w:val="en-NZ"/>
        </w:rPr>
        <w:t xml:space="preserve">representation </w:t>
      </w:r>
      <w:r w:rsidR="00F60F59">
        <w:rPr>
          <w:lang w:val="en-NZ"/>
        </w:rPr>
        <w:t xml:space="preserve">of </w:t>
      </w:r>
      <w:r w:rsidR="000B2DC8">
        <w:rPr>
          <w:lang w:val="en-NZ"/>
        </w:rPr>
        <w:t>children</w:t>
      </w:r>
      <w:r w:rsidR="00F60F59">
        <w:rPr>
          <w:lang w:val="en-NZ"/>
        </w:rPr>
        <w:t xml:space="preserve"> already discussed</w:t>
      </w:r>
      <w:r w:rsidR="000B2DC8">
        <w:rPr>
          <w:lang w:val="en-NZ"/>
        </w:rPr>
        <w:t xml:space="preserve">. Another is </w:t>
      </w:r>
      <w:r w:rsidR="0009023E" w:rsidRPr="00D14842">
        <w:rPr>
          <w:lang w:val="en-NZ"/>
        </w:rPr>
        <w:t xml:space="preserve">that </w:t>
      </w:r>
      <w:r w:rsidR="00586553">
        <w:rPr>
          <w:lang w:val="en-NZ"/>
        </w:rPr>
        <w:t xml:space="preserve">the </w:t>
      </w:r>
      <w:r w:rsidR="000B2DC8">
        <w:rPr>
          <w:lang w:val="en-NZ"/>
        </w:rPr>
        <w:t xml:space="preserve">power </w:t>
      </w:r>
      <w:r w:rsidR="00F60F59">
        <w:rPr>
          <w:lang w:val="en-NZ"/>
        </w:rPr>
        <w:t xml:space="preserve">to grant a remedy under s 182 </w:t>
      </w:r>
      <w:r w:rsidR="000B2DC8">
        <w:rPr>
          <w:lang w:val="en-NZ"/>
        </w:rPr>
        <w:t xml:space="preserve">is </w:t>
      </w:r>
      <w:r w:rsidR="000B2DC8">
        <w:rPr>
          <w:lang w:val="en-NZ"/>
        </w:rPr>
        <w:lastRenderedPageBreak/>
        <w:t xml:space="preserve">ancillary to the </w:t>
      </w:r>
      <w:r w:rsidR="0009023E" w:rsidRPr="00D14842">
        <w:rPr>
          <w:lang w:val="en-NZ"/>
        </w:rPr>
        <w:t>dissolution of marriage</w:t>
      </w:r>
      <w:r w:rsidR="00F60F59">
        <w:rPr>
          <w:lang w:val="en-NZ"/>
        </w:rPr>
        <w:t xml:space="preserve"> which is a matter of personal status</w:t>
      </w:r>
      <w:r w:rsidR="00586553">
        <w:rPr>
          <w:lang w:val="en-NZ"/>
        </w:rPr>
        <w:t xml:space="preserve">. </w:t>
      </w:r>
      <w:r w:rsidR="00F60F59">
        <w:rPr>
          <w:lang w:val="en-NZ"/>
        </w:rPr>
        <w:t xml:space="preserve">It </w:t>
      </w:r>
      <w:r w:rsidR="00586553">
        <w:rPr>
          <w:lang w:val="en-NZ"/>
        </w:rPr>
        <w:t xml:space="preserve">might be argued </w:t>
      </w:r>
      <w:r w:rsidR="0009023E" w:rsidRPr="00D14842">
        <w:rPr>
          <w:lang w:val="en-NZ"/>
        </w:rPr>
        <w:t xml:space="preserve">that it would be contrary to public policy to allow </w:t>
      </w:r>
      <w:r w:rsidR="00586553">
        <w:rPr>
          <w:lang w:val="en-NZ"/>
        </w:rPr>
        <w:t xml:space="preserve">such </w:t>
      </w:r>
      <w:r w:rsidR="0009023E" w:rsidRPr="00D14842">
        <w:rPr>
          <w:lang w:val="en-NZ"/>
        </w:rPr>
        <w:t>matters to be</w:t>
      </w:r>
      <w:r w:rsidR="006A34AA">
        <w:rPr>
          <w:lang w:val="en-NZ"/>
        </w:rPr>
        <w:t xml:space="preserve"> determined by private decision-</w:t>
      </w:r>
      <w:r w:rsidR="0009023E" w:rsidRPr="00D14842">
        <w:rPr>
          <w:lang w:val="en-NZ"/>
        </w:rPr>
        <w:t>makers</w:t>
      </w:r>
      <w:r w:rsidR="000B2DC8">
        <w:rPr>
          <w:lang w:val="en-NZ"/>
        </w:rPr>
        <w:t xml:space="preserve">. </w:t>
      </w:r>
    </w:p>
    <w:p w:rsidR="00327859" w:rsidRPr="00D14842" w:rsidRDefault="000B2DC8" w:rsidP="00D90909">
      <w:pPr>
        <w:rPr>
          <w:lang w:val="en-NZ"/>
        </w:rPr>
      </w:pPr>
      <w:r>
        <w:rPr>
          <w:lang w:val="en-NZ"/>
        </w:rPr>
        <w:t xml:space="preserve">Until there is a definitive decision, or legislative reform, it would seem safer </w:t>
      </w:r>
      <w:r w:rsidR="0009023E" w:rsidRPr="00D14842">
        <w:rPr>
          <w:lang w:val="en-NZ"/>
        </w:rPr>
        <w:t xml:space="preserve">to leave </w:t>
      </w:r>
      <w:r>
        <w:rPr>
          <w:lang w:val="en-NZ"/>
        </w:rPr>
        <w:t xml:space="preserve">applications </w:t>
      </w:r>
      <w:r w:rsidR="0009023E" w:rsidRPr="00D14842">
        <w:rPr>
          <w:lang w:val="en-NZ"/>
        </w:rPr>
        <w:t>under s 182 of the Family Proceedings Act to the Family Court</w:t>
      </w:r>
      <w:r w:rsidR="00F60F59">
        <w:rPr>
          <w:lang w:val="en-NZ"/>
        </w:rPr>
        <w:t>.</w:t>
      </w:r>
      <w:r w:rsidR="0009023E" w:rsidRPr="00D14842">
        <w:rPr>
          <w:lang w:val="en-NZ"/>
        </w:rPr>
        <w:t xml:space="preserve"> </w:t>
      </w:r>
    </w:p>
    <w:p w:rsidR="00E657A2" w:rsidRPr="00E657A2" w:rsidRDefault="00E657A2" w:rsidP="00D90909">
      <w:pPr>
        <w:rPr>
          <w:b/>
          <w:lang w:val="en-NZ"/>
        </w:rPr>
      </w:pPr>
      <w:r w:rsidRPr="00E657A2">
        <w:rPr>
          <w:b/>
          <w:lang w:val="en-NZ"/>
        </w:rPr>
        <w:t xml:space="preserve">Do the gaps in </w:t>
      </w:r>
      <w:r w:rsidR="00F60F59">
        <w:rPr>
          <w:b/>
          <w:lang w:val="en-NZ"/>
        </w:rPr>
        <w:t xml:space="preserve">arbitration </w:t>
      </w:r>
      <w:r w:rsidRPr="00E657A2">
        <w:rPr>
          <w:b/>
          <w:lang w:val="en-NZ"/>
        </w:rPr>
        <w:t>jurisdiction matter?</w:t>
      </w:r>
    </w:p>
    <w:p w:rsidR="00A24EDD" w:rsidRDefault="00A24EDD" w:rsidP="00D90909">
      <w:pPr>
        <w:rPr>
          <w:lang w:val="en-NZ"/>
        </w:rPr>
      </w:pPr>
      <w:r>
        <w:rPr>
          <w:lang w:val="en-NZ"/>
        </w:rPr>
        <w:t xml:space="preserve">The </w:t>
      </w:r>
      <w:r w:rsidR="00665061">
        <w:rPr>
          <w:lang w:val="en-NZ"/>
        </w:rPr>
        <w:t xml:space="preserve">aspects of a relationship property dispute which would be unsafe to refer to arbitration </w:t>
      </w:r>
      <w:r>
        <w:rPr>
          <w:lang w:val="en-NZ"/>
        </w:rPr>
        <w:t xml:space="preserve">come down to </w:t>
      </w:r>
      <w:r w:rsidR="00665061">
        <w:rPr>
          <w:lang w:val="en-NZ"/>
        </w:rPr>
        <w:t xml:space="preserve">(i) </w:t>
      </w:r>
      <w:r>
        <w:rPr>
          <w:lang w:val="en-NZ"/>
        </w:rPr>
        <w:t xml:space="preserve">proceedings which may affect living and unborn children in circumstances where they require separate representation and </w:t>
      </w:r>
      <w:r w:rsidR="00665061">
        <w:rPr>
          <w:lang w:val="en-NZ"/>
        </w:rPr>
        <w:t xml:space="preserve">(ii) </w:t>
      </w:r>
      <w:r>
        <w:rPr>
          <w:lang w:val="en-NZ"/>
        </w:rPr>
        <w:t xml:space="preserve">applications under s 182 of the Family Proceedings Act. </w:t>
      </w:r>
    </w:p>
    <w:p w:rsidR="00474BF0" w:rsidRDefault="00665061" w:rsidP="00B26169">
      <w:pPr>
        <w:rPr>
          <w:lang w:val="en-NZ"/>
        </w:rPr>
      </w:pPr>
      <w:r>
        <w:rPr>
          <w:lang w:val="en-NZ"/>
        </w:rPr>
        <w:t xml:space="preserve">It seems unlikely that the </w:t>
      </w:r>
      <w:r w:rsidR="00B26169">
        <w:rPr>
          <w:lang w:val="en-NZ"/>
        </w:rPr>
        <w:t xml:space="preserve">exclusion of those two matters </w:t>
      </w:r>
      <w:r>
        <w:rPr>
          <w:lang w:val="en-NZ"/>
        </w:rPr>
        <w:t xml:space="preserve">will have </w:t>
      </w:r>
      <w:r w:rsidR="001B7360">
        <w:rPr>
          <w:lang w:val="en-NZ"/>
        </w:rPr>
        <w:t xml:space="preserve">significant </w:t>
      </w:r>
      <w:r w:rsidR="0009023E" w:rsidRPr="00D14842">
        <w:rPr>
          <w:lang w:val="en-NZ"/>
        </w:rPr>
        <w:t xml:space="preserve">impact on relationship property arbitrations.  </w:t>
      </w:r>
    </w:p>
    <w:p w:rsidR="00474BF0" w:rsidRDefault="00474BF0" w:rsidP="00B26169">
      <w:pPr>
        <w:rPr>
          <w:lang w:val="en-NZ"/>
        </w:rPr>
      </w:pPr>
      <w:r>
        <w:rPr>
          <w:lang w:val="en-NZ"/>
        </w:rPr>
        <w:t xml:space="preserve">For one thing </w:t>
      </w:r>
      <w:r w:rsidR="00D6556E">
        <w:rPr>
          <w:lang w:val="en-NZ"/>
        </w:rPr>
        <w:t xml:space="preserve">separate representation for children </w:t>
      </w:r>
      <w:r w:rsidR="0058591E">
        <w:rPr>
          <w:lang w:val="en-NZ"/>
        </w:rPr>
        <w:t xml:space="preserve">when determining property rights after separation </w:t>
      </w:r>
      <w:r>
        <w:rPr>
          <w:lang w:val="en-NZ"/>
        </w:rPr>
        <w:t>is possible,</w:t>
      </w:r>
      <w:r>
        <w:rPr>
          <w:rStyle w:val="FootnoteReference"/>
          <w:lang w:val="en-NZ"/>
        </w:rPr>
        <w:footnoteReference w:id="15"/>
      </w:r>
      <w:r>
        <w:rPr>
          <w:lang w:val="en-NZ"/>
        </w:rPr>
        <w:t xml:space="preserve"> but rare,</w:t>
      </w:r>
      <w:r>
        <w:rPr>
          <w:rStyle w:val="FootnoteReference"/>
          <w:lang w:val="en-NZ"/>
        </w:rPr>
        <w:footnoteReference w:id="16"/>
      </w:r>
      <w:r>
        <w:rPr>
          <w:lang w:val="en-NZ"/>
        </w:rPr>
        <w:t xml:space="preserve"> </w:t>
      </w:r>
      <w:r w:rsidR="00D6556E">
        <w:rPr>
          <w:lang w:val="en-NZ"/>
        </w:rPr>
        <w:t xml:space="preserve">notwithstanding </w:t>
      </w:r>
      <w:r>
        <w:rPr>
          <w:lang w:val="en-NZ"/>
        </w:rPr>
        <w:t xml:space="preserve">their </w:t>
      </w:r>
      <w:r w:rsidR="00D6556E">
        <w:rPr>
          <w:lang w:val="en-NZ"/>
        </w:rPr>
        <w:t>interest in the outcome.</w:t>
      </w:r>
      <w:r>
        <w:rPr>
          <w:lang w:val="en-NZ"/>
        </w:rPr>
        <w:t xml:space="preserve"> </w:t>
      </w:r>
    </w:p>
    <w:p w:rsidR="0058591E" w:rsidRDefault="00474BF0" w:rsidP="00B26169">
      <w:pPr>
        <w:rPr>
          <w:lang w:val="en-NZ"/>
        </w:rPr>
      </w:pPr>
      <w:r>
        <w:rPr>
          <w:lang w:val="en-NZ"/>
        </w:rPr>
        <w:t xml:space="preserve">For another, </w:t>
      </w:r>
      <w:r w:rsidR="0058591E">
        <w:rPr>
          <w:lang w:val="en-NZ"/>
        </w:rPr>
        <w:t xml:space="preserve">hearing </w:t>
      </w:r>
      <w:r>
        <w:rPr>
          <w:lang w:val="en-NZ"/>
        </w:rPr>
        <w:t xml:space="preserve">different issues before different forums </w:t>
      </w:r>
      <w:r w:rsidR="0058591E">
        <w:rPr>
          <w:lang w:val="en-NZ"/>
        </w:rPr>
        <w:t xml:space="preserve">is </w:t>
      </w:r>
      <w:r>
        <w:rPr>
          <w:lang w:val="en-NZ"/>
        </w:rPr>
        <w:t xml:space="preserve">not </w:t>
      </w:r>
      <w:r w:rsidR="00790C3E">
        <w:rPr>
          <w:lang w:val="en-NZ"/>
        </w:rPr>
        <w:t xml:space="preserve">unusual. </w:t>
      </w:r>
      <w:r w:rsidR="001B7360">
        <w:rPr>
          <w:lang w:val="en-NZ"/>
        </w:rPr>
        <w:t xml:space="preserve">All else being equal, </w:t>
      </w:r>
      <w:r w:rsidR="0058591E">
        <w:rPr>
          <w:lang w:val="en-NZ"/>
        </w:rPr>
        <w:t xml:space="preserve">a couple </w:t>
      </w:r>
      <w:r w:rsidR="001B7360">
        <w:rPr>
          <w:lang w:val="en-NZ"/>
        </w:rPr>
        <w:t xml:space="preserve">will always </w:t>
      </w:r>
      <w:r w:rsidR="0058591E">
        <w:rPr>
          <w:lang w:val="en-NZ"/>
        </w:rPr>
        <w:t xml:space="preserve">want </w:t>
      </w:r>
      <w:r w:rsidR="001B7360">
        <w:rPr>
          <w:lang w:val="en-NZ"/>
        </w:rPr>
        <w:t xml:space="preserve">to resolve all rights before one forum and in one hearing. </w:t>
      </w:r>
      <w:r w:rsidR="001342BF">
        <w:rPr>
          <w:lang w:val="en-NZ"/>
        </w:rPr>
        <w:t>Experience shows</w:t>
      </w:r>
      <w:r>
        <w:rPr>
          <w:lang w:val="en-NZ"/>
        </w:rPr>
        <w:t>, however,</w:t>
      </w:r>
      <w:r w:rsidR="001342BF">
        <w:rPr>
          <w:lang w:val="en-NZ"/>
        </w:rPr>
        <w:t xml:space="preserve"> </w:t>
      </w:r>
      <w:r w:rsidR="001B7360">
        <w:rPr>
          <w:lang w:val="en-NZ"/>
        </w:rPr>
        <w:t>that this is frequently unattainable</w:t>
      </w:r>
      <w:r w:rsidR="0058591E">
        <w:rPr>
          <w:lang w:val="en-NZ"/>
        </w:rPr>
        <w:t>.</w:t>
      </w:r>
      <w:r>
        <w:rPr>
          <w:lang w:val="en-NZ"/>
        </w:rPr>
        <w:t xml:space="preserve"> </w:t>
      </w:r>
      <w:r w:rsidR="00B26169">
        <w:rPr>
          <w:lang w:val="en-NZ"/>
        </w:rPr>
        <w:t>W</w:t>
      </w:r>
      <w:r w:rsidR="00B26169" w:rsidRPr="00D14842">
        <w:rPr>
          <w:lang w:val="en-NZ"/>
        </w:rPr>
        <w:t xml:space="preserve">hen a couple separates trust </w:t>
      </w:r>
      <w:r w:rsidR="001342BF">
        <w:rPr>
          <w:lang w:val="en-NZ"/>
        </w:rPr>
        <w:t xml:space="preserve">proceedings </w:t>
      </w:r>
      <w:r w:rsidR="00790C3E">
        <w:rPr>
          <w:lang w:val="en-NZ"/>
        </w:rPr>
        <w:t xml:space="preserve">may be resolved </w:t>
      </w:r>
      <w:r w:rsidR="00B26169">
        <w:rPr>
          <w:lang w:val="en-NZ"/>
        </w:rPr>
        <w:t xml:space="preserve">in one court and </w:t>
      </w:r>
      <w:r w:rsidR="0058591E">
        <w:rPr>
          <w:lang w:val="en-NZ"/>
        </w:rPr>
        <w:t xml:space="preserve">the remainder of </w:t>
      </w:r>
      <w:r w:rsidR="001342BF">
        <w:rPr>
          <w:lang w:val="en-NZ"/>
        </w:rPr>
        <w:t xml:space="preserve">relationship property </w:t>
      </w:r>
      <w:r w:rsidR="001B7360">
        <w:rPr>
          <w:lang w:val="en-NZ"/>
        </w:rPr>
        <w:t xml:space="preserve">issues </w:t>
      </w:r>
      <w:r w:rsidR="00B26169">
        <w:rPr>
          <w:lang w:val="en-NZ"/>
        </w:rPr>
        <w:t>in another</w:t>
      </w:r>
      <w:r w:rsidR="00B26169" w:rsidRPr="00D14842">
        <w:rPr>
          <w:lang w:val="en-NZ"/>
        </w:rPr>
        <w:t xml:space="preserve">. </w:t>
      </w:r>
      <w:r w:rsidR="00B26169">
        <w:rPr>
          <w:lang w:val="en-NZ"/>
        </w:rPr>
        <w:t xml:space="preserve">This </w:t>
      </w:r>
      <w:r w:rsidR="00B26169" w:rsidRPr="00D14842">
        <w:rPr>
          <w:lang w:val="en-NZ"/>
        </w:rPr>
        <w:t xml:space="preserve">division into distinct proceedings may be prompted by the different </w:t>
      </w:r>
      <w:r w:rsidR="001342BF">
        <w:rPr>
          <w:lang w:val="en-NZ"/>
        </w:rPr>
        <w:t xml:space="preserve">combination of </w:t>
      </w:r>
      <w:r w:rsidR="00B26169" w:rsidRPr="00D14842">
        <w:rPr>
          <w:lang w:val="en-NZ"/>
        </w:rPr>
        <w:t>parties,</w:t>
      </w:r>
      <w:r w:rsidR="001342BF">
        <w:rPr>
          <w:rStyle w:val="FootnoteReference"/>
          <w:lang w:val="en-NZ"/>
        </w:rPr>
        <w:footnoteReference w:id="17"/>
      </w:r>
      <w:r w:rsidR="00B26169" w:rsidRPr="00D14842">
        <w:rPr>
          <w:lang w:val="en-NZ"/>
        </w:rPr>
        <w:t xml:space="preserve"> limitations in the trusts jurisdiction of the Family Court</w:t>
      </w:r>
      <w:r w:rsidR="001342BF">
        <w:rPr>
          <w:lang w:val="en-NZ"/>
        </w:rPr>
        <w:t>,</w:t>
      </w:r>
      <w:r w:rsidR="001342BF">
        <w:rPr>
          <w:rStyle w:val="FootnoteReference"/>
          <w:lang w:val="en-NZ"/>
        </w:rPr>
        <w:footnoteReference w:id="18"/>
      </w:r>
      <w:r w:rsidR="00B26169" w:rsidRPr="00D14842">
        <w:rPr>
          <w:lang w:val="en-NZ"/>
        </w:rPr>
        <w:t xml:space="preserve"> or differences in timing</w:t>
      </w:r>
      <w:r w:rsidR="001342BF">
        <w:rPr>
          <w:lang w:val="en-NZ"/>
        </w:rPr>
        <w:t xml:space="preserve">. </w:t>
      </w:r>
      <w:r w:rsidR="0058591E">
        <w:rPr>
          <w:lang w:val="en-NZ"/>
        </w:rPr>
        <w:t xml:space="preserve">On the last point </w:t>
      </w:r>
      <w:r w:rsidR="001342BF" w:rsidRPr="00D14842">
        <w:rPr>
          <w:lang w:val="en-NZ"/>
        </w:rPr>
        <w:t xml:space="preserve">the </w:t>
      </w:r>
      <w:r w:rsidR="00B26169" w:rsidRPr="00D14842">
        <w:rPr>
          <w:lang w:val="en-NZ"/>
        </w:rPr>
        <w:t>couple may not want to wait until the dissolution of their marriage before determining relationship property rights</w:t>
      </w:r>
      <w:r w:rsidR="0058591E">
        <w:rPr>
          <w:lang w:val="en-NZ"/>
        </w:rPr>
        <w:t>.</w:t>
      </w:r>
      <w:r w:rsidR="00B26169" w:rsidRPr="00D14842">
        <w:rPr>
          <w:lang w:val="en-NZ"/>
        </w:rPr>
        <w:t xml:space="preserve"> </w:t>
      </w:r>
    </w:p>
    <w:p w:rsidR="00B26169" w:rsidRPr="00D14842" w:rsidRDefault="001B7360" w:rsidP="00B26169">
      <w:pPr>
        <w:rPr>
          <w:lang w:val="en-NZ"/>
        </w:rPr>
      </w:pPr>
      <w:r>
        <w:rPr>
          <w:lang w:val="en-NZ"/>
        </w:rPr>
        <w:t>T</w:t>
      </w:r>
      <w:r w:rsidR="00B26169" w:rsidRPr="00D14842">
        <w:rPr>
          <w:lang w:val="en-NZ"/>
        </w:rPr>
        <w:t xml:space="preserve">here would </w:t>
      </w:r>
      <w:r w:rsidR="0058591E">
        <w:rPr>
          <w:lang w:val="en-NZ"/>
        </w:rPr>
        <w:t xml:space="preserve">therefore be nothing </w:t>
      </w:r>
      <w:r w:rsidR="00B26169" w:rsidRPr="00D14842">
        <w:rPr>
          <w:lang w:val="en-NZ"/>
        </w:rPr>
        <w:t xml:space="preserve">unusual about resolving </w:t>
      </w:r>
      <w:r w:rsidR="0022693E">
        <w:rPr>
          <w:lang w:val="en-NZ"/>
        </w:rPr>
        <w:t xml:space="preserve">selected </w:t>
      </w:r>
      <w:r w:rsidR="00B26169">
        <w:rPr>
          <w:lang w:val="en-NZ"/>
        </w:rPr>
        <w:t xml:space="preserve">trust matters </w:t>
      </w:r>
      <w:r w:rsidR="00B26169" w:rsidRPr="00D14842">
        <w:rPr>
          <w:lang w:val="en-NZ"/>
        </w:rPr>
        <w:t xml:space="preserve">in </w:t>
      </w:r>
      <w:r w:rsidR="00B26169">
        <w:rPr>
          <w:lang w:val="en-NZ"/>
        </w:rPr>
        <w:t xml:space="preserve">court </w:t>
      </w:r>
      <w:r w:rsidR="00B26169" w:rsidRPr="00D14842">
        <w:rPr>
          <w:lang w:val="en-NZ"/>
        </w:rPr>
        <w:t xml:space="preserve">proceedings </w:t>
      </w:r>
      <w:r w:rsidR="00B26169">
        <w:rPr>
          <w:lang w:val="en-NZ"/>
        </w:rPr>
        <w:t xml:space="preserve">and all other </w:t>
      </w:r>
      <w:r>
        <w:rPr>
          <w:lang w:val="en-NZ"/>
        </w:rPr>
        <w:t xml:space="preserve">matters – including most of those which affect trusts - </w:t>
      </w:r>
      <w:r w:rsidR="00B26169">
        <w:rPr>
          <w:lang w:val="en-NZ"/>
        </w:rPr>
        <w:t xml:space="preserve">in </w:t>
      </w:r>
      <w:r w:rsidR="00B26169" w:rsidRPr="00D14842">
        <w:rPr>
          <w:lang w:val="en-NZ"/>
        </w:rPr>
        <w:t>arbitration</w:t>
      </w:r>
      <w:r w:rsidR="00B26169">
        <w:rPr>
          <w:lang w:val="en-NZ"/>
        </w:rPr>
        <w:t>.</w:t>
      </w:r>
      <w:r w:rsidR="00B26169" w:rsidRPr="00D14842">
        <w:rPr>
          <w:lang w:val="en-NZ"/>
        </w:rPr>
        <w:t xml:space="preserve"> </w:t>
      </w:r>
    </w:p>
    <w:p w:rsidR="00866B99" w:rsidRPr="00D14842" w:rsidRDefault="004C302D" w:rsidP="00866B99">
      <w:pPr>
        <w:pStyle w:val="Heading1"/>
        <w:rPr>
          <w:rFonts w:ascii="Times New Roman" w:hAnsi="Times New Roman"/>
          <w:color w:val="auto"/>
          <w:sz w:val="24"/>
          <w:lang w:val="en-NZ"/>
        </w:rPr>
      </w:pPr>
      <w:r w:rsidRPr="00D14842">
        <w:rPr>
          <w:rFonts w:ascii="Times New Roman" w:hAnsi="Times New Roman"/>
          <w:color w:val="auto"/>
          <w:sz w:val="24"/>
          <w:lang w:val="en-NZ"/>
        </w:rPr>
        <w:t xml:space="preserve">Conclusions over </w:t>
      </w:r>
      <w:r w:rsidR="00866B99" w:rsidRPr="00D14842">
        <w:rPr>
          <w:rFonts w:ascii="Times New Roman" w:hAnsi="Times New Roman"/>
          <w:color w:val="auto"/>
          <w:sz w:val="24"/>
          <w:lang w:val="en-NZ"/>
        </w:rPr>
        <w:t>jurisdiction</w:t>
      </w:r>
    </w:p>
    <w:p w:rsidR="002E194E" w:rsidRDefault="002E194E" w:rsidP="002E194E">
      <w:pPr>
        <w:rPr>
          <w:lang w:val="en-NZ"/>
        </w:rPr>
      </w:pPr>
      <w:r>
        <w:rPr>
          <w:lang w:val="en-NZ"/>
        </w:rPr>
        <w:t>On the current state of the law it would be unsafe to attempt to confer jurisdiction on an arbitrator to determine:</w:t>
      </w:r>
    </w:p>
    <w:p w:rsidR="002E194E" w:rsidRPr="002E194E" w:rsidRDefault="002E194E" w:rsidP="002E194E">
      <w:pPr>
        <w:pStyle w:val="ListParagraph"/>
        <w:numPr>
          <w:ilvl w:val="0"/>
          <w:numId w:val="13"/>
        </w:numPr>
        <w:rPr>
          <w:lang w:val="en-NZ"/>
        </w:rPr>
      </w:pPr>
      <w:r w:rsidRPr="002E194E">
        <w:rPr>
          <w:lang w:val="en-NZ"/>
        </w:rPr>
        <w:t xml:space="preserve">Proceedings </w:t>
      </w:r>
      <w:r w:rsidR="008166CD">
        <w:rPr>
          <w:lang w:val="en-NZ"/>
        </w:rPr>
        <w:t xml:space="preserve">in which </w:t>
      </w:r>
      <w:r w:rsidRPr="002E194E">
        <w:rPr>
          <w:lang w:val="en-NZ"/>
        </w:rPr>
        <w:t xml:space="preserve">living </w:t>
      </w:r>
      <w:r w:rsidR="0092268E">
        <w:rPr>
          <w:lang w:val="en-NZ"/>
        </w:rPr>
        <w:t xml:space="preserve">or </w:t>
      </w:r>
      <w:r w:rsidRPr="002E194E">
        <w:rPr>
          <w:lang w:val="en-NZ"/>
        </w:rPr>
        <w:t xml:space="preserve">unborn children </w:t>
      </w:r>
      <w:r w:rsidR="008166CD">
        <w:rPr>
          <w:lang w:val="en-NZ"/>
        </w:rPr>
        <w:t>need to be separately represented</w:t>
      </w:r>
      <w:r>
        <w:rPr>
          <w:lang w:val="en-NZ"/>
        </w:rPr>
        <w:t>; or</w:t>
      </w:r>
      <w:r w:rsidRPr="002E194E">
        <w:rPr>
          <w:lang w:val="en-NZ"/>
        </w:rPr>
        <w:t xml:space="preserve"> </w:t>
      </w:r>
    </w:p>
    <w:p w:rsidR="002E194E" w:rsidRPr="002E194E" w:rsidRDefault="002E194E" w:rsidP="002E194E">
      <w:pPr>
        <w:pStyle w:val="ListParagraph"/>
        <w:numPr>
          <w:ilvl w:val="0"/>
          <w:numId w:val="13"/>
        </w:numPr>
        <w:rPr>
          <w:lang w:val="en-NZ"/>
        </w:rPr>
      </w:pPr>
      <w:r w:rsidRPr="002E194E">
        <w:rPr>
          <w:lang w:val="en-NZ"/>
        </w:rPr>
        <w:t>Applications under s 182 of the Family Proceedings Act.</w:t>
      </w:r>
    </w:p>
    <w:p w:rsidR="00866B99" w:rsidRPr="00D14842" w:rsidRDefault="0092268E" w:rsidP="00866B99">
      <w:pPr>
        <w:rPr>
          <w:lang w:val="en-NZ"/>
        </w:rPr>
      </w:pPr>
      <w:r>
        <w:rPr>
          <w:lang w:val="en-NZ"/>
        </w:rPr>
        <w:lastRenderedPageBreak/>
        <w:t xml:space="preserve">An </w:t>
      </w:r>
      <w:r w:rsidRPr="00D14842">
        <w:rPr>
          <w:lang w:val="en-NZ"/>
        </w:rPr>
        <w:t xml:space="preserve">arbitrator </w:t>
      </w:r>
      <w:r>
        <w:rPr>
          <w:lang w:val="en-NZ"/>
        </w:rPr>
        <w:t xml:space="preserve">can be given </w:t>
      </w:r>
      <w:r w:rsidRPr="00D14842">
        <w:rPr>
          <w:lang w:val="en-NZ"/>
        </w:rPr>
        <w:t xml:space="preserve">jurisdiction to determine </w:t>
      </w:r>
      <w:r>
        <w:rPr>
          <w:lang w:val="en-NZ"/>
        </w:rPr>
        <w:t xml:space="preserve">all other </w:t>
      </w:r>
      <w:r w:rsidRPr="00D14842">
        <w:rPr>
          <w:lang w:val="en-NZ"/>
        </w:rPr>
        <w:t>trust</w:t>
      </w:r>
      <w:r>
        <w:rPr>
          <w:lang w:val="en-NZ"/>
        </w:rPr>
        <w:t xml:space="preserve"> matters </w:t>
      </w:r>
      <w:r w:rsidR="002E194E">
        <w:rPr>
          <w:lang w:val="en-NZ"/>
        </w:rPr>
        <w:t xml:space="preserve">in </w:t>
      </w:r>
      <w:proofErr w:type="gramStart"/>
      <w:r w:rsidR="002E194E">
        <w:rPr>
          <w:lang w:val="en-NZ"/>
        </w:rPr>
        <w:t>a relationship</w:t>
      </w:r>
      <w:proofErr w:type="gramEnd"/>
      <w:r w:rsidR="002E194E">
        <w:rPr>
          <w:lang w:val="en-NZ"/>
        </w:rPr>
        <w:t xml:space="preserve"> property arbitration</w:t>
      </w:r>
      <w:r w:rsidR="00CB178E">
        <w:rPr>
          <w:lang w:val="en-NZ"/>
        </w:rPr>
        <w:t xml:space="preserve">. </w:t>
      </w:r>
      <w:r w:rsidR="00866B99" w:rsidRPr="00D14842">
        <w:rPr>
          <w:lang w:val="en-NZ"/>
        </w:rPr>
        <w:t>Assuming that the parties (and in certain instances the trustees) agree, an arbitrator can determine</w:t>
      </w:r>
      <w:r w:rsidR="004C302D" w:rsidRPr="00D14842">
        <w:rPr>
          <w:lang w:val="en-NZ"/>
        </w:rPr>
        <w:t>:</w:t>
      </w:r>
      <w:r w:rsidR="00866B99" w:rsidRPr="00D14842">
        <w:rPr>
          <w:lang w:val="en-NZ"/>
        </w:rPr>
        <w:t xml:space="preserve"> </w:t>
      </w:r>
    </w:p>
    <w:p w:rsidR="00CB178E" w:rsidRPr="00D14842" w:rsidRDefault="00CB178E" w:rsidP="00CB178E">
      <w:pPr>
        <w:pStyle w:val="ListParagraph"/>
        <w:numPr>
          <w:ilvl w:val="0"/>
          <w:numId w:val="12"/>
        </w:numPr>
        <w:rPr>
          <w:lang w:val="en-NZ"/>
        </w:rPr>
      </w:pPr>
      <w:r w:rsidRPr="00D14842">
        <w:rPr>
          <w:lang w:val="en-NZ"/>
        </w:rPr>
        <w:t xml:space="preserve">Claims </w:t>
      </w:r>
      <w:r>
        <w:rPr>
          <w:lang w:val="en-NZ"/>
        </w:rPr>
        <w:t xml:space="preserve">for compensatory orders </w:t>
      </w:r>
      <w:r w:rsidRPr="00D14842">
        <w:rPr>
          <w:lang w:val="en-NZ"/>
        </w:rPr>
        <w:t xml:space="preserve">under </w:t>
      </w:r>
      <w:r>
        <w:rPr>
          <w:lang w:val="en-NZ"/>
        </w:rPr>
        <w:t xml:space="preserve">s </w:t>
      </w:r>
      <w:r w:rsidRPr="00D14842">
        <w:rPr>
          <w:lang w:val="en-NZ"/>
        </w:rPr>
        <w:t>44C of the PRA</w:t>
      </w:r>
      <w:r>
        <w:rPr>
          <w:lang w:val="en-NZ"/>
        </w:rPr>
        <w:t xml:space="preserve"> where relationship property has been settled on a trust;</w:t>
      </w:r>
      <w:r w:rsidRPr="00D14842">
        <w:rPr>
          <w:lang w:val="en-NZ"/>
        </w:rPr>
        <w:t xml:space="preserve"> </w:t>
      </w:r>
    </w:p>
    <w:p w:rsidR="00CB178E" w:rsidRPr="00D14842" w:rsidRDefault="00CB178E" w:rsidP="00CB178E">
      <w:pPr>
        <w:pStyle w:val="ListParagraph"/>
        <w:numPr>
          <w:ilvl w:val="0"/>
          <w:numId w:val="12"/>
        </w:numPr>
        <w:rPr>
          <w:lang w:val="en-NZ"/>
        </w:rPr>
      </w:pPr>
      <w:r w:rsidRPr="00D14842">
        <w:rPr>
          <w:lang w:val="en-NZ"/>
        </w:rPr>
        <w:t xml:space="preserve">Claims for orders setting aside dispositions of property to trustees under s 44 of the PRA; </w:t>
      </w:r>
    </w:p>
    <w:p w:rsidR="00CB178E" w:rsidRPr="00D14842" w:rsidRDefault="00CB178E" w:rsidP="00CB178E">
      <w:pPr>
        <w:pStyle w:val="ListParagraph"/>
        <w:numPr>
          <w:ilvl w:val="0"/>
          <w:numId w:val="12"/>
        </w:numPr>
        <w:rPr>
          <w:lang w:val="en-NZ"/>
        </w:rPr>
      </w:pPr>
      <w:r w:rsidRPr="00D14842">
        <w:rPr>
          <w:lang w:val="en-NZ"/>
        </w:rPr>
        <w:t xml:space="preserve">“Bundle of rights” claims </w:t>
      </w:r>
      <w:r>
        <w:rPr>
          <w:lang w:val="en-NZ"/>
        </w:rPr>
        <w:t xml:space="preserve">which seek </w:t>
      </w:r>
      <w:r w:rsidRPr="00D14842">
        <w:rPr>
          <w:lang w:val="en-NZ"/>
        </w:rPr>
        <w:t xml:space="preserve">to treat one spouse’s  </w:t>
      </w:r>
      <w:r>
        <w:rPr>
          <w:lang w:val="en-NZ"/>
        </w:rPr>
        <w:t xml:space="preserve">collective trust </w:t>
      </w:r>
      <w:r w:rsidRPr="00D14842">
        <w:rPr>
          <w:lang w:val="en-NZ"/>
        </w:rPr>
        <w:t xml:space="preserve">rights </w:t>
      </w:r>
      <w:r>
        <w:rPr>
          <w:lang w:val="en-NZ"/>
        </w:rPr>
        <w:t xml:space="preserve">and powers </w:t>
      </w:r>
      <w:r w:rsidRPr="00D14842">
        <w:rPr>
          <w:lang w:val="en-NZ"/>
        </w:rPr>
        <w:t>as relationship property</w:t>
      </w:r>
      <w:r>
        <w:rPr>
          <w:lang w:val="en-NZ"/>
        </w:rPr>
        <w:t>;</w:t>
      </w:r>
      <w:r w:rsidRPr="00D14842">
        <w:rPr>
          <w:lang w:val="en-NZ"/>
        </w:rPr>
        <w:t xml:space="preserve"> </w:t>
      </w:r>
    </w:p>
    <w:p w:rsidR="00CB178E" w:rsidRPr="00D14842" w:rsidRDefault="008166CD" w:rsidP="00CB178E">
      <w:pPr>
        <w:pStyle w:val="ListParagraph"/>
        <w:numPr>
          <w:ilvl w:val="0"/>
          <w:numId w:val="12"/>
        </w:numPr>
        <w:rPr>
          <w:lang w:val="en-NZ"/>
        </w:rPr>
      </w:pPr>
      <w:r>
        <w:rPr>
          <w:lang w:val="en-NZ"/>
        </w:rPr>
        <w:t xml:space="preserve">Contentions </w:t>
      </w:r>
      <w:r w:rsidR="00CB178E">
        <w:rPr>
          <w:lang w:val="en-NZ"/>
        </w:rPr>
        <w:t xml:space="preserve">that </w:t>
      </w:r>
      <w:r w:rsidR="00CB178E" w:rsidRPr="00D14842">
        <w:rPr>
          <w:lang w:val="en-NZ"/>
        </w:rPr>
        <w:t xml:space="preserve">the resources of </w:t>
      </w:r>
      <w:r w:rsidR="00CB178E">
        <w:rPr>
          <w:lang w:val="en-NZ"/>
        </w:rPr>
        <w:t xml:space="preserve">a </w:t>
      </w:r>
      <w:r w:rsidR="00CB178E" w:rsidRPr="00D14842">
        <w:rPr>
          <w:lang w:val="en-NZ"/>
        </w:rPr>
        <w:t xml:space="preserve">trust </w:t>
      </w:r>
      <w:r w:rsidR="00CB178E">
        <w:rPr>
          <w:lang w:val="en-NZ"/>
        </w:rPr>
        <w:t xml:space="preserve">should be </w:t>
      </w:r>
      <w:r w:rsidR="00CB178E" w:rsidRPr="00D14842">
        <w:rPr>
          <w:lang w:val="en-NZ"/>
        </w:rPr>
        <w:t xml:space="preserve">wholly </w:t>
      </w:r>
      <w:r w:rsidR="00CB178E">
        <w:rPr>
          <w:lang w:val="en-NZ"/>
        </w:rPr>
        <w:t xml:space="preserve">or partially </w:t>
      </w:r>
      <w:r w:rsidR="00CB178E" w:rsidRPr="00D14842">
        <w:rPr>
          <w:lang w:val="en-NZ"/>
        </w:rPr>
        <w:t xml:space="preserve">imputed to </w:t>
      </w:r>
      <w:r w:rsidR="00CB178E">
        <w:rPr>
          <w:lang w:val="en-NZ"/>
        </w:rPr>
        <w:t xml:space="preserve">a </w:t>
      </w:r>
      <w:r w:rsidR="00CB178E" w:rsidRPr="00D14842">
        <w:rPr>
          <w:lang w:val="en-NZ"/>
        </w:rPr>
        <w:t xml:space="preserve">spouse for the purpose of </w:t>
      </w:r>
      <w:r w:rsidR="00CB178E">
        <w:rPr>
          <w:lang w:val="en-NZ"/>
        </w:rPr>
        <w:t xml:space="preserve">deciding what that </w:t>
      </w:r>
      <w:r w:rsidR="00CB178E" w:rsidRPr="00D14842">
        <w:rPr>
          <w:lang w:val="en-NZ"/>
        </w:rPr>
        <w:t>spouse</w:t>
      </w:r>
      <w:r w:rsidR="00CB178E">
        <w:rPr>
          <w:lang w:val="en-NZ"/>
        </w:rPr>
        <w:t xml:space="preserve"> requires, or can afford, for maintenance </w:t>
      </w:r>
      <w:r>
        <w:rPr>
          <w:lang w:val="en-NZ"/>
        </w:rPr>
        <w:t xml:space="preserve">and allied </w:t>
      </w:r>
      <w:r w:rsidR="00CB178E">
        <w:rPr>
          <w:lang w:val="en-NZ"/>
        </w:rPr>
        <w:t xml:space="preserve">purposes; </w:t>
      </w:r>
    </w:p>
    <w:p w:rsidR="00CB178E" w:rsidRPr="00D14842" w:rsidRDefault="00CB178E" w:rsidP="00CB178E">
      <w:pPr>
        <w:pStyle w:val="ListParagraph"/>
        <w:numPr>
          <w:ilvl w:val="0"/>
          <w:numId w:val="12"/>
        </w:numPr>
        <w:rPr>
          <w:lang w:val="en-NZ"/>
        </w:rPr>
      </w:pPr>
      <w:r w:rsidRPr="00D14842">
        <w:rPr>
          <w:lang w:val="en-NZ"/>
        </w:rPr>
        <w:t xml:space="preserve">Constructive trust </w:t>
      </w:r>
      <w:r w:rsidR="008166CD">
        <w:rPr>
          <w:lang w:val="en-NZ"/>
        </w:rPr>
        <w:t xml:space="preserve">and similar </w:t>
      </w:r>
      <w:r w:rsidRPr="00D14842">
        <w:rPr>
          <w:lang w:val="en-NZ"/>
        </w:rPr>
        <w:t xml:space="preserve">claims against trustees; </w:t>
      </w:r>
      <w:r w:rsidR="002E194E">
        <w:rPr>
          <w:lang w:val="en-NZ"/>
        </w:rPr>
        <w:t>and</w:t>
      </w:r>
    </w:p>
    <w:p w:rsidR="00CB178E" w:rsidRDefault="00CB178E" w:rsidP="00CB178E">
      <w:pPr>
        <w:pStyle w:val="ListParagraph"/>
        <w:numPr>
          <w:ilvl w:val="0"/>
          <w:numId w:val="12"/>
        </w:numPr>
        <w:rPr>
          <w:lang w:val="en-NZ"/>
        </w:rPr>
      </w:pPr>
      <w:r w:rsidRPr="00D14842">
        <w:rPr>
          <w:lang w:val="en-NZ"/>
        </w:rPr>
        <w:t xml:space="preserve">Claims that </w:t>
      </w:r>
      <w:r w:rsidR="002E194E">
        <w:rPr>
          <w:lang w:val="en-NZ"/>
        </w:rPr>
        <w:t xml:space="preserve">a </w:t>
      </w:r>
      <w:r w:rsidRPr="00D14842">
        <w:rPr>
          <w:lang w:val="en-NZ"/>
        </w:rPr>
        <w:t>trust</w:t>
      </w:r>
      <w:r w:rsidR="002E194E">
        <w:rPr>
          <w:lang w:val="en-NZ"/>
        </w:rPr>
        <w:t xml:space="preserve"> is a sham.</w:t>
      </w:r>
    </w:p>
    <w:p w:rsidR="002E194E" w:rsidRDefault="00586553" w:rsidP="00866B99">
      <w:pPr>
        <w:rPr>
          <w:lang w:val="en-NZ"/>
        </w:rPr>
      </w:pPr>
      <w:r>
        <w:rPr>
          <w:lang w:val="en-NZ"/>
        </w:rPr>
        <w:t xml:space="preserve">In addition </w:t>
      </w:r>
      <w:r w:rsidRPr="00586553">
        <w:rPr>
          <w:lang w:val="en-NZ"/>
        </w:rPr>
        <w:t xml:space="preserve">any </w:t>
      </w:r>
      <w:r w:rsidR="00CB178E" w:rsidRPr="00586553">
        <w:rPr>
          <w:lang w:val="en-NZ"/>
        </w:rPr>
        <w:t xml:space="preserve">kind of internal trust dispute </w:t>
      </w:r>
      <w:r>
        <w:rPr>
          <w:lang w:val="en-NZ"/>
        </w:rPr>
        <w:t xml:space="preserve">can be arbitrated </w:t>
      </w:r>
      <w:r w:rsidR="00CB178E" w:rsidRPr="00586553">
        <w:rPr>
          <w:lang w:val="en-NZ"/>
        </w:rPr>
        <w:t xml:space="preserve">where all </w:t>
      </w:r>
      <w:r>
        <w:rPr>
          <w:lang w:val="en-NZ"/>
        </w:rPr>
        <w:t xml:space="preserve">affected parties agree and </w:t>
      </w:r>
      <w:r w:rsidR="008166CD">
        <w:rPr>
          <w:lang w:val="en-NZ"/>
        </w:rPr>
        <w:t xml:space="preserve">have the capacity to give </w:t>
      </w:r>
      <w:r>
        <w:rPr>
          <w:lang w:val="en-NZ"/>
        </w:rPr>
        <w:t xml:space="preserve">a binding contractual consent. </w:t>
      </w:r>
    </w:p>
    <w:sectPr w:rsidR="002E194E" w:rsidSect="00611BD8">
      <w:headerReference w:type="even" r:id="rId9"/>
      <w:headerReference w:type="default" r:id="rId10"/>
      <w:type w:val="continuous"/>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14E" w:rsidRDefault="00A3114E">
      <w:r>
        <w:separator/>
      </w:r>
    </w:p>
  </w:endnote>
  <w:endnote w:type="continuationSeparator" w:id="0">
    <w:p w:rsidR="00A3114E" w:rsidRDefault="00A31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14E" w:rsidRDefault="00A3114E">
      <w:r>
        <w:separator/>
      </w:r>
    </w:p>
  </w:footnote>
  <w:footnote w:type="continuationSeparator" w:id="0">
    <w:p w:rsidR="00A3114E" w:rsidRDefault="00A3114E">
      <w:r>
        <w:continuationSeparator/>
      </w:r>
    </w:p>
  </w:footnote>
  <w:footnote w:id="1">
    <w:p w:rsidR="00611BD8" w:rsidRPr="00611BD8" w:rsidRDefault="00611BD8">
      <w:pPr>
        <w:pStyle w:val="FootnoteText"/>
        <w:rPr>
          <w:lang w:val="en-NZ"/>
        </w:rPr>
      </w:pPr>
      <w:r>
        <w:rPr>
          <w:rStyle w:val="FootnoteReference"/>
        </w:rPr>
        <w:footnoteRef/>
      </w:r>
      <w:r>
        <w:t xml:space="preserve"> </w:t>
      </w:r>
      <w:r w:rsidRPr="00370FAC">
        <w:rPr>
          <w:szCs w:val="24"/>
        </w:rPr>
        <w:t>Hon Robert Fisher QC, LLD is an arbitrator, mediator and consultant based in Auckland.</w:t>
      </w:r>
    </w:p>
  </w:footnote>
  <w:footnote w:id="2">
    <w:p w:rsidR="008166CD" w:rsidRPr="00370FAC" w:rsidRDefault="008166CD" w:rsidP="008166CD">
      <w:pPr>
        <w:pStyle w:val="FootnoteText"/>
        <w:rPr>
          <w:lang w:val="en-NZ"/>
        </w:rPr>
      </w:pPr>
      <w:r>
        <w:rPr>
          <w:rStyle w:val="FootnoteReference"/>
        </w:rPr>
        <w:footnoteRef/>
      </w:r>
      <w:r>
        <w:t xml:space="preserve"> </w:t>
      </w:r>
      <w:r w:rsidR="00B053EC">
        <w:t xml:space="preserve">The meaning of “spouse” may well be in a state of transition. </w:t>
      </w:r>
      <w:r w:rsidR="002D3BBA">
        <w:t xml:space="preserve">For </w:t>
      </w:r>
      <w:r w:rsidR="004C7B13">
        <w:t xml:space="preserve">welcome </w:t>
      </w:r>
      <w:r w:rsidR="00B053EC">
        <w:t xml:space="preserve">signs </w:t>
      </w:r>
      <w:r>
        <w:t xml:space="preserve">see the </w:t>
      </w:r>
      <w:proofErr w:type="spellStart"/>
      <w:r>
        <w:t>Wikipaedia</w:t>
      </w:r>
      <w:proofErr w:type="spellEnd"/>
      <w:r>
        <w:t xml:space="preserve"> definition “</w:t>
      </w:r>
      <w:r>
        <w:rPr>
          <w:lang w:val="en"/>
        </w:rPr>
        <w:t xml:space="preserve">partner in a </w:t>
      </w:r>
      <w:hyperlink r:id="rId1" w:tooltip="Marriage" w:history="1">
        <w:r>
          <w:rPr>
            <w:rStyle w:val="Hyperlink"/>
            <w:lang w:val="en"/>
          </w:rPr>
          <w:t>marriage</w:t>
        </w:r>
      </w:hyperlink>
      <w:r>
        <w:rPr>
          <w:lang w:val="en"/>
        </w:rPr>
        <w:t xml:space="preserve">, </w:t>
      </w:r>
      <w:hyperlink r:id="rId2" w:tooltip="Civil union" w:history="1">
        <w:r>
          <w:rPr>
            <w:rStyle w:val="Hyperlink"/>
            <w:lang w:val="en"/>
          </w:rPr>
          <w:t>civil union</w:t>
        </w:r>
      </w:hyperlink>
      <w:r>
        <w:rPr>
          <w:lang w:val="en"/>
        </w:rPr>
        <w:t xml:space="preserve">, </w:t>
      </w:r>
      <w:hyperlink r:id="rId3" w:tooltip="Domestic partnership" w:history="1">
        <w:r>
          <w:rPr>
            <w:rStyle w:val="Hyperlink"/>
            <w:lang w:val="en"/>
          </w:rPr>
          <w:t>domestic partnership</w:t>
        </w:r>
      </w:hyperlink>
      <w:r>
        <w:rPr>
          <w:lang w:val="en"/>
        </w:rPr>
        <w:t xml:space="preserve"> or </w:t>
      </w:r>
      <w:hyperlink r:id="rId4" w:tooltip="Common-law marriage" w:history="1">
        <w:r>
          <w:rPr>
            <w:rStyle w:val="Hyperlink"/>
            <w:lang w:val="en"/>
          </w:rPr>
          <w:t>common-law marriage</w:t>
        </w:r>
      </w:hyperlink>
      <w:r>
        <w:rPr>
          <w:lang w:val="en"/>
        </w:rPr>
        <w:t xml:space="preserve">”. </w:t>
      </w:r>
    </w:p>
  </w:footnote>
  <w:footnote w:id="3">
    <w:p w:rsidR="00370FAC" w:rsidRPr="00370FAC" w:rsidRDefault="00370FAC">
      <w:pPr>
        <w:pStyle w:val="FootnoteText"/>
        <w:rPr>
          <w:lang w:val="en-NZ"/>
        </w:rPr>
      </w:pPr>
      <w:r>
        <w:rPr>
          <w:rStyle w:val="FootnoteReference"/>
        </w:rPr>
        <w:footnoteRef/>
      </w:r>
      <w:r>
        <w:t xml:space="preserve"> For example see </w:t>
      </w:r>
      <w:r w:rsidRPr="003D50A5">
        <w:rPr>
          <w:lang w:val="en-NZ"/>
        </w:rPr>
        <w:t>Rima Evans “A Decent Proposal” May 2013, The Resolver 11; Laura Ashworth “Islamic Arbitration of Family Law Disputes in New Zealand” (dissertation for LL.B (Hons) U</w:t>
      </w:r>
      <w:r>
        <w:rPr>
          <w:lang w:val="en-NZ"/>
        </w:rPr>
        <w:t>niversity</w:t>
      </w:r>
      <w:r w:rsidRPr="003D50A5">
        <w:rPr>
          <w:lang w:val="en-NZ"/>
        </w:rPr>
        <w:t xml:space="preserve"> of O</w:t>
      </w:r>
      <w:r>
        <w:rPr>
          <w:lang w:val="en-NZ"/>
        </w:rPr>
        <w:t>tago</w:t>
      </w:r>
      <w:r w:rsidRPr="003D50A5">
        <w:rPr>
          <w:lang w:val="en-NZ"/>
        </w:rPr>
        <w:t xml:space="preserve"> 2010)  and  </w:t>
      </w:r>
      <w:r w:rsidRPr="003D50A5">
        <w:t>Robert Fisher “Relationship Property Arbitration” (2014) 8 NZFLJ 15</w:t>
      </w:r>
      <w:r>
        <w:t>.</w:t>
      </w:r>
    </w:p>
  </w:footnote>
  <w:footnote w:id="4">
    <w:p w:rsidR="00835118" w:rsidRPr="00835118" w:rsidRDefault="00835118">
      <w:pPr>
        <w:pStyle w:val="FootnoteText"/>
        <w:rPr>
          <w:lang w:val="en-NZ"/>
        </w:rPr>
      </w:pPr>
      <w:r>
        <w:rPr>
          <w:rStyle w:val="FootnoteReference"/>
        </w:rPr>
        <w:footnoteRef/>
      </w:r>
      <w:r>
        <w:t xml:space="preserve"> </w:t>
      </w:r>
      <w:proofErr w:type="gramStart"/>
      <w:r w:rsidRPr="00B64F22">
        <w:rPr>
          <w:szCs w:val="24"/>
          <w:lang w:val="en-NZ"/>
        </w:rPr>
        <w:t>Law Commission Arbitration NZLC R 20, 1991 at [231]</w:t>
      </w:r>
      <w:r>
        <w:rPr>
          <w:szCs w:val="24"/>
          <w:lang w:val="en-NZ"/>
        </w:rPr>
        <w:t>.</w:t>
      </w:r>
      <w:proofErr w:type="gramEnd"/>
    </w:p>
  </w:footnote>
  <w:footnote w:id="5">
    <w:p w:rsidR="0001481F" w:rsidRPr="0001481F" w:rsidRDefault="0001481F">
      <w:pPr>
        <w:pStyle w:val="FootnoteText"/>
        <w:rPr>
          <w:lang w:val="en-NZ"/>
        </w:rPr>
      </w:pPr>
      <w:r>
        <w:rPr>
          <w:rStyle w:val="FootnoteReference"/>
        </w:rPr>
        <w:footnoteRef/>
      </w:r>
      <w:r>
        <w:t xml:space="preserve"> </w:t>
      </w:r>
      <w:proofErr w:type="gramStart"/>
      <w:r w:rsidRPr="00426CFB">
        <w:rPr>
          <w:i/>
          <w:lang w:val="en-NZ"/>
        </w:rPr>
        <w:t>Walker v Walker</w:t>
      </w:r>
      <w:r w:rsidRPr="00D14842">
        <w:rPr>
          <w:lang w:val="en-NZ"/>
        </w:rPr>
        <w:t xml:space="preserve"> [2007] NZFLR 772 (CA); </w:t>
      </w:r>
      <w:r w:rsidRPr="00426CFB">
        <w:rPr>
          <w:i/>
          <w:lang w:val="en-NZ"/>
        </w:rPr>
        <w:t>Harrison v Harrison</w:t>
      </w:r>
      <w:r w:rsidRPr="00D14842">
        <w:rPr>
          <w:lang w:val="en-NZ"/>
        </w:rPr>
        <w:t xml:space="preserve"> [2009] NZFLR 687 (CA)</w:t>
      </w:r>
      <w:r>
        <w:rPr>
          <w:lang w:val="en-NZ"/>
        </w:rPr>
        <w:t>.</w:t>
      </w:r>
      <w:proofErr w:type="gramEnd"/>
    </w:p>
  </w:footnote>
  <w:footnote w:id="6">
    <w:p w:rsidR="00D53367" w:rsidRPr="00D53367" w:rsidRDefault="00D53367">
      <w:pPr>
        <w:pStyle w:val="FootnoteText"/>
        <w:rPr>
          <w:lang w:val="en-NZ"/>
        </w:rPr>
      </w:pPr>
      <w:r>
        <w:rPr>
          <w:rStyle w:val="FootnoteReference"/>
        </w:rPr>
        <w:footnoteRef/>
      </w:r>
      <w:r>
        <w:t xml:space="preserve"> </w:t>
      </w:r>
      <w:r w:rsidRPr="007500D8">
        <w:rPr>
          <w:i/>
          <w:lang w:val="en-NZ"/>
        </w:rPr>
        <w:t xml:space="preserve">Browne v Browne </w:t>
      </w:r>
      <w:r w:rsidRPr="00D14842">
        <w:rPr>
          <w:lang w:val="en-NZ"/>
        </w:rPr>
        <w:t xml:space="preserve">[1989] 1 FLR 291 (CA); </w:t>
      </w:r>
      <w:r w:rsidRPr="007500D8">
        <w:rPr>
          <w:i/>
          <w:lang w:val="en-NZ"/>
        </w:rPr>
        <w:t>RK v RK</w:t>
      </w:r>
      <w:r w:rsidRPr="00D14842">
        <w:rPr>
          <w:lang w:val="en-NZ"/>
        </w:rPr>
        <w:t xml:space="preserve"> [2011] EWHC 3910 (</w:t>
      </w:r>
      <w:proofErr w:type="gramStart"/>
      <w:r w:rsidRPr="00D14842">
        <w:rPr>
          <w:lang w:val="en-NZ"/>
        </w:rPr>
        <w:t>Fam</w:t>
      </w:r>
      <w:proofErr w:type="gramEnd"/>
      <w:r w:rsidRPr="00D14842">
        <w:rPr>
          <w:lang w:val="en-NZ"/>
        </w:rPr>
        <w:t>)</w:t>
      </w:r>
      <w:r w:rsidR="0001481F">
        <w:rPr>
          <w:lang w:val="en-NZ"/>
        </w:rPr>
        <w:t>.</w:t>
      </w:r>
    </w:p>
  </w:footnote>
  <w:footnote w:id="7">
    <w:p w:rsidR="00FC6201" w:rsidRPr="00FC6201" w:rsidRDefault="00FC6201">
      <w:pPr>
        <w:pStyle w:val="FootnoteText"/>
        <w:rPr>
          <w:lang w:val="en-NZ"/>
        </w:rPr>
      </w:pPr>
      <w:r>
        <w:rPr>
          <w:rStyle w:val="FootnoteReference"/>
        </w:rPr>
        <w:footnoteRef/>
      </w:r>
      <w:r>
        <w:t xml:space="preserve"> </w:t>
      </w:r>
      <w:r>
        <w:rPr>
          <w:lang w:val="en-NZ"/>
        </w:rPr>
        <w:t xml:space="preserve">Contrast the United Kingdom and Australia e.g. </w:t>
      </w:r>
      <w:r w:rsidRPr="007500D8">
        <w:rPr>
          <w:i/>
          <w:lang w:val="en-NZ"/>
        </w:rPr>
        <w:t>Browne v Browne</w:t>
      </w:r>
      <w:r>
        <w:rPr>
          <w:i/>
          <w:lang w:val="en-NZ"/>
        </w:rPr>
        <w:t xml:space="preserve"> </w:t>
      </w:r>
      <w:r>
        <w:rPr>
          <w:lang w:val="en-NZ"/>
        </w:rPr>
        <w:t>and</w:t>
      </w:r>
      <w:r w:rsidRPr="00D14842">
        <w:rPr>
          <w:lang w:val="en-NZ"/>
        </w:rPr>
        <w:t xml:space="preserve"> </w:t>
      </w:r>
      <w:r w:rsidRPr="007500D8">
        <w:rPr>
          <w:i/>
          <w:lang w:val="en-NZ"/>
        </w:rPr>
        <w:t>RK v RK</w:t>
      </w:r>
      <w:r>
        <w:rPr>
          <w:i/>
          <w:lang w:val="en-NZ"/>
        </w:rPr>
        <w:t xml:space="preserve">, </w:t>
      </w:r>
      <w:r>
        <w:rPr>
          <w:lang w:val="en-NZ"/>
        </w:rPr>
        <w:t xml:space="preserve">above, n </w:t>
      </w:r>
      <w:r w:rsidR="0035182E">
        <w:rPr>
          <w:lang w:val="en-NZ"/>
        </w:rPr>
        <w:t>6</w:t>
      </w:r>
      <w:r>
        <w:rPr>
          <w:lang w:val="en-NZ"/>
        </w:rPr>
        <w:t xml:space="preserve">. </w:t>
      </w:r>
    </w:p>
  </w:footnote>
  <w:footnote w:id="8">
    <w:p w:rsidR="000534E5" w:rsidRPr="00F76FEE" w:rsidRDefault="000534E5">
      <w:pPr>
        <w:pStyle w:val="FootnoteText"/>
        <w:rPr>
          <w:lang w:val="en-NZ"/>
        </w:rPr>
      </w:pPr>
      <w:r>
        <w:rPr>
          <w:rStyle w:val="FootnoteReference"/>
        </w:rPr>
        <w:footnoteRef/>
      </w:r>
      <w:r>
        <w:t xml:space="preserve"> </w:t>
      </w:r>
      <w:r w:rsidRPr="00D14842">
        <w:rPr>
          <w:lang w:val="en-NZ"/>
        </w:rPr>
        <w:t xml:space="preserve">The Law Commission has recommended that </w:t>
      </w:r>
      <w:r>
        <w:rPr>
          <w:lang w:val="en-NZ"/>
        </w:rPr>
        <w:t xml:space="preserve">it </w:t>
      </w:r>
      <w:r w:rsidRPr="00D14842">
        <w:rPr>
          <w:lang w:val="en-NZ"/>
        </w:rPr>
        <w:t>be extended to capital as well as income</w:t>
      </w:r>
      <w:r>
        <w:rPr>
          <w:lang w:val="en-NZ"/>
        </w:rPr>
        <w:t xml:space="preserve">: </w:t>
      </w:r>
      <w:r w:rsidR="00F76FEE">
        <w:rPr>
          <w:lang w:val="en-NZ"/>
        </w:rPr>
        <w:t xml:space="preserve">Law Commission </w:t>
      </w:r>
      <w:r w:rsidR="00F76FEE">
        <w:rPr>
          <w:i/>
          <w:lang w:val="en-NZ"/>
        </w:rPr>
        <w:t xml:space="preserve">Review of the Law of Trusts: a Trusts Act for New Zealand </w:t>
      </w:r>
      <w:r w:rsidR="00F76FEE">
        <w:rPr>
          <w:lang w:val="en-NZ"/>
        </w:rPr>
        <w:t>NZLC R130, 2013</w:t>
      </w:r>
      <w:r w:rsidR="002158A2">
        <w:rPr>
          <w:lang w:val="en-NZ"/>
        </w:rPr>
        <w:t>, Chapter 19</w:t>
      </w:r>
      <w:r w:rsidR="00F76FEE">
        <w:rPr>
          <w:lang w:val="en-NZ"/>
        </w:rPr>
        <w:t>.</w:t>
      </w:r>
    </w:p>
  </w:footnote>
  <w:footnote w:id="9">
    <w:p w:rsidR="006F4B94" w:rsidRPr="00400418" w:rsidRDefault="006F4B94" w:rsidP="006F4B94">
      <w:pPr>
        <w:pStyle w:val="FootnoteText"/>
        <w:rPr>
          <w:lang w:val="en-NZ"/>
        </w:rPr>
      </w:pPr>
      <w:r>
        <w:rPr>
          <w:rStyle w:val="FootnoteReference"/>
        </w:rPr>
        <w:footnoteRef/>
      </w:r>
      <w:r>
        <w:t xml:space="preserve"> </w:t>
      </w:r>
      <w:proofErr w:type="gramStart"/>
      <w:r>
        <w:t xml:space="preserve">For example </w:t>
      </w:r>
      <w:r w:rsidRPr="0076034F">
        <w:rPr>
          <w:i/>
          <w:lang w:val="en-NZ"/>
        </w:rPr>
        <w:t xml:space="preserve">Hayward v </w:t>
      </w:r>
      <w:proofErr w:type="spellStart"/>
      <w:r w:rsidRPr="0076034F">
        <w:rPr>
          <w:i/>
          <w:lang w:val="en-NZ"/>
        </w:rPr>
        <w:t>Giordani</w:t>
      </w:r>
      <w:proofErr w:type="spellEnd"/>
      <w:r w:rsidRPr="00D14842">
        <w:rPr>
          <w:lang w:val="en-NZ"/>
        </w:rPr>
        <w:t xml:space="preserve"> [1983] NZLR 140 (CA)</w:t>
      </w:r>
      <w:r>
        <w:rPr>
          <w:lang w:val="en-NZ"/>
        </w:rPr>
        <w:t xml:space="preserve"> and </w:t>
      </w:r>
      <w:proofErr w:type="spellStart"/>
      <w:r w:rsidRPr="0076034F">
        <w:rPr>
          <w:i/>
          <w:lang w:val="en-NZ"/>
        </w:rPr>
        <w:t>Lankow</w:t>
      </w:r>
      <w:proofErr w:type="spellEnd"/>
      <w:r w:rsidRPr="0076034F">
        <w:rPr>
          <w:i/>
          <w:lang w:val="en-NZ"/>
        </w:rPr>
        <w:t xml:space="preserve"> v Rose</w:t>
      </w:r>
      <w:r w:rsidRPr="00D14842">
        <w:rPr>
          <w:lang w:val="en-NZ"/>
        </w:rPr>
        <w:t xml:space="preserve"> [1995] 1 NZLR 277 (CA)</w:t>
      </w:r>
      <w:r>
        <w:rPr>
          <w:lang w:val="en-NZ"/>
        </w:rPr>
        <w:t>.</w:t>
      </w:r>
      <w:proofErr w:type="gramEnd"/>
    </w:p>
  </w:footnote>
  <w:footnote w:id="10">
    <w:p w:rsidR="00CE4702" w:rsidRPr="00CE4702" w:rsidRDefault="00CE4702">
      <w:pPr>
        <w:pStyle w:val="FootnoteText"/>
        <w:rPr>
          <w:lang w:val="en-NZ"/>
        </w:rPr>
      </w:pPr>
      <w:r>
        <w:rPr>
          <w:rStyle w:val="FootnoteReference"/>
        </w:rPr>
        <w:footnoteRef/>
      </w:r>
      <w:r>
        <w:t xml:space="preserve"> </w:t>
      </w:r>
      <w:proofErr w:type="gramStart"/>
      <w:r w:rsidRPr="00490903">
        <w:rPr>
          <w:i/>
          <w:lang w:val="en-NZ"/>
        </w:rPr>
        <w:t>Official Assignee v Wilson</w:t>
      </w:r>
      <w:r w:rsidRPr="00D14842">
        <w:rPr>
          <w:lang w:val="en-NZ"/>
        </w:rPr>
        <w:t xml:space="preserve"> [2008] 3 NZLR 45 (CA); </w:t>
      </w:r>
      <w:r w:rsidRPr="00490903">
        <w:rPr>
          <w:i/>
          <w:lang w:val="en-NZ"/>
        </w:rPr>
        <w:t>F v W</w:t>
      </w:r>
      <w:r w:rsidRPr="00D14842">
        <w:rPr>
          <w:lang w:val="en-NZ"/>
        </w:rPr>
        <w:t xml:space="preserve"> HC Wellington, CIV-2009-485-531, 3 August 2009)</w:t>
      </w:r>
      <w:r>
        <w:rPr>
          <w:lang w:val="en-NZ"/>
        </w:rPr>
        <w:t>.</w:t>
      </w:r>
      <w:proofErr w:type="gramEnd"/>
    </w:p>
  </w:footnote>
  <w:footnote w:id="11">
    <w:p w:rsidR="00A9435F" w:rsidRPr="00A9435F" w:rsidRDefault="00A9435F">
      <w:pPr>
        <w:pStyle w:val="FootnoteText"/>
        <w:rPr>
          <w:lang w:val="en-NZ"/>
        </w:rPr>
      </w:pPr>
      <w:r>
        <w:rPr>
          <w:rStyle w:val="FootnoteReference"/>
        </w:rPr>
        <w:footnoteRef/>
      </w:r>
      <w:r>
        <w:t xml:space="preserve"> </w:t>
      </w:r>
      <w:r>
        <w:rPr>
          <w:lang w:val="en-NZ"/>
        </w:rPr>
        <w:t xml:space="preserve">For a particularly illuminating commentary see </w:t>
      </w:r>
      <w:r w:rsidRPr="00D14842">
        <w:rPr>
          <w:lang w:val="en-NZ"/>
        </w:rPr>
        <w:t>Jeremy Johnson “The Arbitration of Trust Disputes: Opportunities and Risks”, paper presented to 2014 AMINZ Conference</w:t>
      </w:r>
      <w:r>
        <w:rPr>
          <w:lang w:val="en-NZ"/>
        </w:rPr>
        <w:t>.</w:t>
      </w:r>
    </w:p>
  </w:footnote>
  <w:footnote w:id="12">
    <w:p w:rsidR="00A9435F" w:rsidRPr="00A9435F" w:rsidRDefault="00A9435F">
      <w:pPr>
        <w:pStyle w:val="FootnoteText"/>
        <w:rPr>
          <w:lang w:val="en-NZ"/>
        </w:rPr>
      </w:pPr>
      <w:r>
        <w:rPr>
          <w:rStyle w:val="FootnoteReference"/>
        </w:rPr>
        <w:footnoteRef/>
      </w:r>
      <w:r>
        <w:t xml:space="preserve"> </w:t>
      </w:r>
      <w:r w:rsidRPr="00D14842">
        <w:rPr>
          <w:lang w:val="en-NZ"/>
        </w:rPr>
        <w:t>Toby Graham “The problems with compulsory arbitration of trust disputes” (2014) 20 Trusts and trustees 20)</w:t>
      </w:r>
      <w:r>
        <w:rPr>
          <w:lang w:val="en-NZ"/>
        </w:rPr>
        <w:t>.</w:t>
      </w:r>
    </w:p>
  </w:footnote>
  <w:footnote w:id="13">
    <w:p w:rsidR="006A34AA" w:rsidRPr="006A34AA" w:rsidRDefault="006A34AA">
      <w:pPr>
        <w:pStyle w:val="FootnoteText"/>
        <w:rPr>
          <w:lang w:val="en-NZ"/>
        </w:rPr>
      </w:pPr>
      <w:r>
        <w:rPr>
          <w:rStyle w:val="FootnoteReference"/>
        </w:rPr>
        <w:footnoteRef/>
      </w:r>
      <w:r>
        <w:t xml:space="preserve"> </w:t>
      </w:r>
      <w:r>
        <w:rPr>
          <w:lang w:val="en-NZ"/>
        </w:rPr>
        <w:t xml:space="preserve">For an example see </w:t>
      </w:r>
      <w:proofErr w:type="spellStart"/>
      <w:r w:rsidRPr="004A7E86">
        <w:rPr>
          <w:i/>
          <w:lang w:val="en-NZ"/>
        </w:rPr>
        <w:t>Chrystall</w:t>
      </w:r>
      <w:proofErr w:type="spellEnd"/>
      <w:r w:rsidRPr="004A7E86">
        <w:rPr>
          <w:i/>
          <w:lang w:val="en-NZ"/>
        </w:rPr>
        <w:t xml:space="preserve"> v </w:t>
      </w:r>
      <w:proofErr w:type="spellStart"/>
      <w:r w:rsidRPr="004A7E86">
        <w:rPr>
          <w:i/>
          <w:lang w:val="en-NZ"/>
        </w:rPr>
        <w:t>Chrystall</w:t>
      </w:r>
      <w:proofErr w:type="spellEnd"/>
      <w:r w:rsidRPr="00D14842">
        <w:rPr>
          <w:lang w:val="en-NZ"/>
        </w:rPr>
        <w:t xml:space="preserve"> [1993] NZFLR 772</w:t>
      </w:r>
      <w:r>
        <w:rPr>
          <w:lang w:val="en-NZ"/>
        </w:rPr>
        <w:t>.</w:t>
      </w:r>
    </w:p>
  </w:footnote>
  <w:footnote w:id="14">
    <w:p w:rsidR="006A34AA" w:rsidRPr="006A34AA" w:rsidRDefault="006A34AA">
      <w:pPr>
        <w:pStyle w:val="FootnoteText"/>
        <w:rPr>
          <w:lang w:val="en-NZ"/>
        </w:rPr>
      </w:pPr>
      <w:r>
        <w:rPr>
          <w:rStyle w:val="FootnoteReference"/>
        </w:rPr>
        <w:footnoteRef/>
      </w:r>
      <w:r>
        <w:t xml:space="preserve"> </w:t>
      </w:r>
      <w:r w:rsidRPr="00A24EDD">
        <w:rPr>
          <w:i/>
          <w:lang w:val="en-NZ"/>
        </w:rPr>
        <w:t>Ward v Ward</w:t>
      </w:r>
      <w:r w:rsidRPr="00D14842">
        <w:rPr>
          <w:lang w:val="en-NZ"/>
        </w:rPr>
        <w:t xml:space="preserve"> [2009] NZSC 125; [2010] 2 NZLR 31</w:t>
      </w:r>
      <w:r>
        <w:rPr>
          <w:lang w:val="en-NZ"/>
        </w:rPr>
        <w:t>.</w:t>
      </w:r>
    </w:p>
  </w:footnote>
  <w:footnote w:id="15">
    <w:p w:rsidR="00474BF0" w:rsidRPr="00474BF0" w:rsidRDefault="00474BF0">
      <w:pPr>
        <w:pStyle w:val="FootnoteText"/>
        <w:rPr>
          <w:lang w:val="en-NZ"/>
        </w:rPr>
      </w:pPr>
      <w:r>
        <w:rPr>
          <w:rStyle w:val="FootnoteReference"/>
        </w:rPr>
        <w:footnoteRef/>
      </w:r>
      <w:r>
        <w:t xml:space="preserve"> </w:t>
      </w:r>
      <w:proofErr w:type="gramStart"/>
      <w:r>
        <w:t xml:space="preserve">As in </w:t>
      </w:r>
      <w:r>
        <w:rPr>
          <w:i/>
          <w:lang w:val="en-NZ"/>
        </w:rPr>
        <w:t xml:space="preserve">X v X [Family </w:t>
      </w:r>
      <w:r w:rsidR="00D86DAF">
        <w:rPr>
          <w:i/>
          <w:lang w:val="en-NZ"/>
        </w:rPr>
        <w:t>Trust</w:t>
      </w:r>
      <w:r>
        <w:rPr>
          <w:i/>
          <w:lang w:val="en-NZ"/>
        </w:rPr>
        <w:t xml:space="preserve">] </w:t>
      </w:r>
      <w:r>
        <w:rPr>
          <w:lang w:val="en-NZ"/>
        </w:rPr>
        <w:t>[2008] NZCA 20, [2009] NZFLR 956.</w:t>
      </w:r>
      <w:proofErr w:type="gramEnd"/>
    </w:p>
  </w:footnote>
  <w:footnote w:id="16">
    <w:p w:rsidR="00474BF0" w:rsidRPr="00140617" w:rsidRDefault="00474BF0" w:rsidP="00474BF0">
      <w:pPr>
        <w:pStyle w:val="FootnoteText"/>
        <w:rPr>
          <w:lang w:val="en-NZ"/>
        </w:rPr>
      </w:pPr>
      <w:r>
        <w:rPr>
          <w:rStyle w:val="FootnoteReference"/>
        </w:rPr>
        <w:footnoteRef/>
      </w:r>
      <w:r>
        <w:t xml:space="preserve"> For example there was no separate representation for the children </w:t>
      </w:r>
      <w:r>
        <w:rPr>
          <w:lang w:val="en-NZ"/>
        </w:rPr>
        <w:t xml:space="preserve">in </w:t>
      </w:r>
      <w:r>
        <w:rPr>
          <w:i/>
          <w:lang w:val="en-NZ"/>
        </w:rPr>
        <w:t xml:space="preserve">Ward </w:t>
      </w:r>
      <w:r>
        <w:rPr>
          <w:lang w:val="en-NZ"/>
        </w:rPr>
        <w:t xml:space="preserve">above, </w:t>
      </w:r>
      <w:r w:rsidR="00EA6EB8">
        <w:rPr>
          <w:lang w:val="en-NZ"/>
        </w:rPr>
        <w:t xml:space="preserve">n </w:t>
      </w:r>
      <w:r w:rsidR="00490C0C">
        <w:rPr>
          <w:lang w:val="en-NZ"/>
        </w:rPr>
        <w:fldChar w:fldCharType="begin"/>
      </w:r>
      <w:r w:rsidR="00490C0C">
        <w:rPr>
          <w:lang w:val="en-NZ"/>
        </w:rPr>
        <w:instrText xml:space="preserve"> NOTEREF _Ref400012645 \h </w:instrText>
      </w:r>
      <w:r w:rsidR="00490C0C">
        <w:rPr>
          <w:lang w:val="en-NZ"/>
        </w:rPr>
      </w:r>
      <w:r w:rsidR="00490C0C">
        <w:rPr>
          <w:lang w:val="en-NZ"/>
        </w:rPr>
        <w:fldChar w:fldCharType="separate"/>
      </w:r>
      <w:r w:rsidR="00B053EC">
        <w:rPr>
          <w:lang w:val="en-NZ"/>
        </w:rPr>
        <w:t>14</w:t>
      </w:r>
      <w:r w:rsidR="00490C0C">
        <w:rPr>
          <w:lang w:val="en-NZ"/>
        </w:rPr>
        <w:fldChar w:fldCharType="end"/>
      </w:r>
      <w:r w:rsidR="00490C0C">
        <w:rPr>
          <w:lang w:val="en-NZ"/>
        </w:rPr>
        <w:t>,</w:t>
      </w:r>
      <w:r w:rsidR="00EA6EB8">
        <w:rPr>
          <w:lang w:val="en-NZ"/>
        </w:rPr>
        <w:t xml:space="preserve"> </w:t>
      </w:r>
      <w:r>
        <w:rPr>
          <w:lang w:val="en-NZ"/>
        </w:rPr>
        <w:t xml:space="preserve">or </w:t>
      </w:r>
      <w:proofErr w:type="spellStart"/>
      <w:r w:rsidRPr="004A7E86">
        <w:rPr>
          <w:i/>
          <w:lang w:val="en-NZ"/>
        </w:rPr>
        <w:t>Chrystall</w:t>
      </w:r>
      <w:proofErr w:type="spellEnd"/>
      <w:r>
        <w:rPr>
          <w:i/>
          <w:lang w:val="en-NZ"/>
        </w:rPr>
        <w:t xml:space="preserve"> </w:t>
      </w:r>
      <w:r>
        <w:rPr>
          <w:lang w:val="en-NZ"/>
        </w:rPr>
        <w:t xml:space="preserve">above, n </w:t>
      </w:r>
      <w:r w:rsidR="002D3BBA">
        <w:rPr>
          <w:lang w:val="en-NZ"/>
        </w:rPr>
        <w:fldChar w:fldCharType="begin"/>
      </w:r>
      <w:r w:rsidR="002D3BBA">
        <w:rPr>
          <w:lang w:val="en-NZ"/>
        </w:rPr>
        <w:instrText xml:space="preserve"> NOTEREF _Ref400012680 \h </w:instrText>
      </w:r>
      <w:r w:rsidR="002D3BBA">
        <w:rPr>
          <w:lang w:val="en-NZ"/>
        </w:rPr>
      </w:r>
      <w:r w:rsidR="002D3BBA">
        <w:rPr>
          <w:lang w:val="en-NZ"/>
        </w:rPr>
        <w:fldChar w:fldCharType="separate"/>
      </w:r>
      <w:r w:rsidR="00B053EC">
        <w:rPr>
          <w:lang w:val="en-NZ"/>
        </w:rPr>
        <w:t>13</w:t>
      </w:r>
      <w:r w:rsidR="002D3BBA">
        <w:rPr>
          <w:lang w:val="en-NZ"/>
        </w:rPr>
        <w:fldChar w:fldCharType="end"/>
      </w:r>
      <w:r w:rsidR="00490C0C">
        <w:rPr>
          <w:lang w:val="en-NZ"/>
        </w:rPr>
        <w:t>,</w:t>
      </w:r>
      <w:r w:rsidR="0058591E">
        <w:rPr>
          <w:lang w:val="en-NZ"/>
        </w:rPr>
        <w:t xml:space="preserve"> notwithstanding their role as beneficiaries</w:t>
      </w:r>
      <w:r>
        <w:rPr>
          <w:lang w:val="en-NZ"/>
        </w:rPr>
        <w:t xml:space="preserve">. </w:t>
      </w:r>
    </w:p>
  </w:footnote>
  <w:footnote w:id="17">
    <w:p w:rsidR="001342BF" w:rsidRPr="001342BF" w:rsidRDefault="001342BF">
      <w:pPr>
        <w:pStyle w:val="FootnoteText"/>
        <w:rPr>
          <w:lang w:val="en-NZ"/>
        </w:rPr>
      </w:pPr>
      <w:r>
        <w:rPr>
          <w:rStyle w:val="FootnoteReference"/>
        </w:rPr>
        <w:footnoteRef/>
      </w:r>
      <w:r>
        <w:t xml:space="preserve"> </w:t>
      </w:r>
      <w:proofErr w:type="gramStart"/>
      <w:r w:rsidRPr="00D14842">
        <w:rPr>
          <w:lang w:val="en-NZ"/>
        </w:rPr>
        <w:t xml:space="preserve">As in </w:t>
      </w:r>
      <w:r w:rsidRPr="00B26169">
        <w:rPr>
          <w:bCs/>
          <w:i/>
          <w:szCs w:val="23"/>
        </w:rPr>
        <w:t>Hansard v Hansard</w:t>
      </w:r>
      <w:r w:rsidRPr="00D14842">
        <w:rPr>
          <w:bCs/>
          <w:szCs w:val="23"/>
        </w:rPr>
        <w:t xml:space="preserve"> [2014] NZCA 433</w:t>
      </w:r>
      <w:r>
        <w:rPr>
          <w:bCs/>
          <w:szCs w:val="23"/>
        </w:rPr>
        <w:t>.</w:t>
      </w:r>
      <w:proofErr w:type="gramEnd"/>
    </w:p>
  </w:footnote>
  <w:footnote w:id="18">
    <w:p w:rsidR="001342BF" w:rsidRPr="001342BF" w:rsidRDefault="001342BF">
      <w:pPr>
        <w:pStyle w:val="FootnoteText"/>
        <w:rPr>
          <w:lang w:val="en-NZ"/>
        </w:rPr>
      </w:pPr>
      <w:r>
        <w:rPr>
          <w:rStyle w:val="FootnoteReference"/>
        </w:rPr>
        <w:footnoteRef/>
      </w:r>
      <w:r>
        <w:t xml:space="preserve"> </w:t>
      </w:r>
      <w:proofErr w:type="gramStart"/>
      <w:r w:rsidRPr="00B26169">
        <w:rPr>
          <w:i/>
          <w:lang w:val="en-NZ"/>
        </w:rPr>
        <w:t>F v W</w:t>
      </w:r>
      <w:r w:rsidRPr="00D14842">
        <w:rPr>
          <w:lang w:val="en-NZ"/>
        </w:rPr>
        <w:t xml:space="preserve"> (HC </w:t>
      </w:r>
      <w:proofErr w:type="spellStart"/>
      <w:r w:rsidRPr="00D14842">
        <w:rPr>
          <w:lang w:val="en-NZ"/>
        </w:rPr>
        <w:t>Wgton</w:t>
      </w:r>
      <w:proofErr w:type="spellEnd"/>
      <w:r w:rsidRPr="00D14842">
        <w:rPr>
          <w:lang w:val="en-NZ"/>
        </w:rPr>
        <w:t xml:space="preserve"> CIV-2009-485-530, 3 August 2009</w:t>
      </w:r>
      <w:r>
        <w:rPr>
          <w:lang w:val="en-NZ"/>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85" w:rsidRDefault="00780F8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80F85" w:rsidRDefault="00780F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85" w:rsidRDefault="00780F8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D7745">
      <w:rPr>
        <w:rStyle w:val="PageNumber"/>
        <w:noProof/>
      </w:rPr>
      <w:t>9</w:t>
    </w:r>
    <w:r>
      <w:rPr>
        <w:rStyle w:val="PageNumber"/>
      </w:rPr>
      <w:fldChar w:fldCharType="end"/>
    </w:r>
  </w:p>
  <w:p w:rsidR="00780F85" w:rsidRDefault="00780F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555FE"/>
    <w:multiLevelType w:val="hybridMultilevel"/>
    <w:tmpl w:val="82BAA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82FCF"/>
    <w:multiLevelType w:val="hybridMultilevel"/>
    <w:tmpl w:val="F968BEB2"/>
    <w:lvl w:ilvl="0" w:tplc="425AF7D2">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nsid w:val="13205CAA"/>
    <w:multiLevelType w:val="hybridMultilevel"/>
    <w:tmpl w:val="0CB24AAA"/>
    <w:lvl w:ilvl="0" w:tplc="1FE4E34A">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95A18F9"/>
    <w:multiLevelType w:val="hybridMultilevel"/>
    <w:tmpl w:val="B462C866"/>
    <w:lvl w:ilvl="0" w:tplc="0AE2C77E">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ECC0A7F"/>
    <w:multiLevelType w:val="hybridMultilevel"/>
    <w:tmpl w:val="AE14B1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F15217E"/>
    <w:multiLevelType w:val="multilevel"/>
    <w:tmpl w:val="27ECCF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2C5941"/>
    <w:multiLevelType w:val="hybridMultilevel"/>
    <w:tmpl w:val="A64C2792"/>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58700970"/>
    <w:multiLevelType w:val="hybridMultilevel"/>
    <w:tmpl w:val="67B607B2"/>
    <w:lvl w:ilvl="0" w:tplc="FCB0B1EE">
      <w:start w:val="1"/>
      <w:numFmt w:val="lowerRoman"/>
      <w:lvlText w:val="(%1)"/>
      <w:lvlJc w:val="left"/>
      <w:pPr>
        <w:ind w:left="720" w:hanging="72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8">
    <w:nsid w:val="5C2E0ECC"/>
    <w:multiLevelType w:val="hybridMultilevel"/>
    <w:tmpl w:val="A830EA6A"/>
    <w:lvl w:ilvl="0" w:tplc="F7B22E40">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5F766FF8"/>
    <w:multiLevelType w:val="hybridMultilevel"/>
    <w:tmpl w:val="A2E494B8"/>
    <w:lvl w:ilvl="0" w:tplc="C66EE402">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60C357A7"/>
    <w:multiLevelType w:val="hybridMultilevel"/>
    <w:tmpl w:val="B3E4D5E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68182855"/>
    <w:multiLevelType w:val="hybridMultilevel"/>
    <w:tmpl w:val="EA9018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A375AD0"/>
    <w:multiLevelType w:val="hybridMultilevel"/>
    <w:tmpl w:val="DEA4F196"/>
    <w:lvl w:ilvl="0" w:tplc="EE5E48B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7D515B80"/>
    <w:multiLevelType w:val="hybridMultilevel"/>
    <w:tmpl w:val="A6A23DE2"/>
    <w:lvl w:ilvl="0" w:tplc="963ABBDE">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4">
    <w:nsid w:val="7EF96555"/>
    <w:multiLevelType w:val="hybridMultilevel"/>
    <w:tmpl w:val="53CE86B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8"/>
  </w:num>
  <w:num w:numId="6">
    <w:abstractNumId w:val="12"/>
  </w:num>
  <w:num w:numId="7">
    <w:abstractNumId w:val="11"/>
  </w:num>
  <w:num w:numId="8">
    <w:abstractNumId w:val="3"/>
  </w:num>
  <w:num w:numId="9">
    <w:abstractNumId w:val="5"/>
  </w:num>
  <w:num w:numId="10">
    <w:abstractNumId w:val="5"/>
    <w:lvlOverride w:ilvl="1">
      <w:lvl w:ilvl="1">
        <w:numFmt w:val="bullet"/>
        <w:lvlText w:val=""/>
        <w:lvlJc w:val="left"/>
        <w:pPr>
          <w:tabs>
            <w:tab w:val="num" w:pos="1440"/>
          </w:tabs>
          <w:ind w:left="1440" w:hanging="360"/>
        </w:pPr>
        <w:rPr>
          <w:rFonts w:ascii="Symbol" w:hAnsi="Symbol" w:hint="default"/>
          <w:sz w:val="20"/>
        </w:rPr>
      </w:lvl>
    </w:lvlOverride>
  </w:num>
  <w:num w:numId="11">
    <w:abstractNumId w:val="14"/>
  </w:num>
  <w:num w:numId="12">
    <w:abstractNumId w:val="6"/>
  </w:num>
  <w:num w:numId="13">
    <w:abstractNumId w:val="4"/>
  </w:num>
  <w:num w:numId="14">
    <w:abstractNumId w:val="13"/>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1FF"/>
    <w:rsid w:val="00011EE0"/>
    <w:rsid w:val="0001481F"/>
    <w:rsid w:val="00042BAC"/>
    <w:rsid w:val="000529D0"/>
    <w:rsid w:val="000534E5"/>
    <w:rsid w:val="00056728"/>
    <w:rsid w:val="000679D3"/>
    <w:rsid w:val="00080328"/>
    <w:rsid w:val="00087132"/>
    <w:rsid w:val="00087A94"/>
    <w:rsid w:val="0009023E"/>
    <w:rsid w:val="00090551"/>
    <w:rsid w:val="0009153B"/>
    <w:rsid w:val="000974FD"/>
    <w:rsid w:val="000A2A39"/>
    <w:rsid w:val="000B0240"/>
    <w:rsid w:val="000B286C"/>
    <w:rsid w:val="000B2DC8"/>
    <w:rsid w:val="000C3593"/>
    <w:rsid w:val="000C78E6"/>
    <w:rsid w:val="000D19E7"/>
    <w:rsid w:val="000D6765"/>
    <w:rsid w:val="000E5FBE"/>
    <w:rsid w:val="000E6E00"/>
    <w:rsid w:val="00101A9A"/>
    <w:rsid w:val="00101D2F"/>
    <w:rsid w:val="001251FB"/>
    <w:rsid w:val="001324BD"/>
    <w:rsid w:val="001342BF"/>
    <w:rsid w:val="00140617"/>
    <w:rsid w:val="00142F2D"/>
    <w:rsid w:val="001431FF"/>
    <w:rsid w:val="00193F68"/>
    <w:rsid w:val="001B7360"/>
    <w:rsid w:val="001D4353"/>
    <w:rsid w:val="001F1DD2"/>
    <w:rsid w:val="002036E4"/>
    <w:rsid w:val="002037B3"/>
    <w:rsid w:val="00211A77"/>
    <w:rsid w:val="002158A2"/>
    <w:rsid w:val="00221267"/>
    <w:rsid w:val="0022693E"/>
    <w:rsid w:val="00234456"/>
    <w:rsid w:val="00240B23"/>
    <w:rsid w:val="00247FB6"/>
    <w:rsid w:val="002543A2"/>
    <w:rsid w:val="00296783"/>
    <w:rsid w:val="002B4690"/>
    <w:rsid w:val="002C23DA"/>
    <w:rsid w:val="002C2B0A"/>
    <w:rsid w:val="002C605D"/>
    <w:rsid w:val="002D2097"/>
    <w:rsid w:val="002D2FDD"/>
    <w:rsid w:val="002D3BBA"/>
    <w:rsid w:val="002E194E"/>
    <w:rsid w:val="002E230C"/>
    <w:rsid w:val="002F79F8"/>
    <w:rsid w:val="003009E0"/>
    <w:rsid w:val="003022FF"/>
    <w:rsid w:val="00322494"/>
    <w:rsid w:val="00324A0E"/>
    <w:rsid w:val="00327859"/>
    <w:rsid w:val="003301E6"/>
    <w:rsid w:val="00343BCA"/>
    <w:rsid w:val="003503E6"/>
    <w:rsid w:val="0035182E"/>
    <w:rsid w:val="00370FAC"/>
    <w:rsid w:val="003966AF"/>
    <w:rsid w:val="003A4B48"/>
    <w:rsid w:val="003B0D47"/>
    <w:rsid w:val="003E20AA"/>
    <w:rsid w:val="003E2E2B"/>
    <w:rsid w:val="00400418"/>
    <w:rsid w:val="004115F1"/>
    <w:rsid w:val="00415CBA"/>
    <w:rsid w:val="00421117"/>
    <w:rsid w:val="00426CFB"/>
    <w:rsid w:val="004574AD"/>
    <w:rsid w:val="0045781E"/>
    <w:rsid w:val="00474BF0"/>
    <w:rsid w:val="00490903"/>
    <w:rsid w:val="00490C0C"/>
    <w:rsid w:val="004A7E86"/>
    <w:rsid w:val="004C302D"/>
    <w:rsid w:val="004C583C"/>
    <w:rsid w:val="004C7B13"/>
    <w:rsid w:val="0053096F"/>
    <w:rsid w:val="0054027A"/>
    <w:rsid w:val="00557146"/>
    <w:rsid w:val="0057437C"/>
    <w:rsid w:val="0058591E"/>
    <w:rsid w:val="00586553"/>
    <w:rsid w:val="00586FCE"/>
    <w:rsid w:val="00587F56"/>
    <w:rsid w:val="005A620E"/>
    <w:rsid w:val="005D2D91"/>
    <w:rsid w:val="005D4EA6"/>
    <w:rsid w:val="005D7AEB"/>
    <w:rsid w:val="005E09A7"/>
    <w:rsid w:val="005E476C"/>
    <w:rsid w:val="005F2212"/>
    <w:rsid w:val="0060347A"/>
    <w:rsid w:val="00606C6F"/>
    <w:rsid w:val="00611BD8"/>
    <w:rsid w:val="00617D09"/>
    <w:rsid w:val="00636A45"/>
    <w:rsid w:val="00650505"/>
    <w:rsid w:val="00651200"/>
    <w:rsid w:val="006528D8"/>
    <w:rsid w:val="006561B6"/>
    <w:rsid w:val="00664F4A"/>
    <w:rsid w:val="00665061"/>
    <w:rsid w:val="006716E4"/>
    <w:rsid w:val="00684D7A"/>
    <w:rsid w:val="006945D5"/>
    <w:rsid w:val="006969D6"/>
    <w:rsid w:val="006A34AA"/>
    <w:rsid w:val="006D26D1"/>
    <w:rsid w:val="006D2896"/>
    <w:rsid w:val="006E6346"/>
    <w:rsid w:val="006F097B"/>
    <w:rsid w:val="006F4B94"/>
    <w:rsid w:val="0071204B"/>
    <w:rsid w:val="00720B93"/>
    <w:rsid w:val="0073717E"/>
    <w:rsid w:val="007500D8"/>
    <w:rsid w:val="007516C4"/>
    <w:rsid w:val="0076034F"/>
    <w:rsid w:val="00780F85"/>
    <w:rsid w:val="00790C3E"/>
    <w:rsid w:val="00793ADA"/>
    <w:rsid w:val="007D2198"/>
    <w:rsid w:val="007E1931"/>
    <w:rsid w:val="007E4507"/>
    <w:rsid w:val="007F1D65"/>
    <w:rsid w:val="0081070F"/>
    <w:rsid w:val="008166CD"/>
    <w:rsid w:val="00835118"/>
    <w:rsid w:val="0083604C"/>
    <w:rsid w:val="008429EA"/>
    <w:rsid w:val="00845447"/>
    <w:rsid w:val="00851060"/>
    <w:rsid w:val="008609B3"/>
    <w:rsid w:val="00861603"/>
    <w:rsid w:val="00864C9B"/>
    <w:rsid w:val="00866B99"/>
    <w:rsid w:val="008B3580"/>
    <w:rsid w:val="008B3D9A"/>
    <w:rsid w:val="008B5AB6"/>
    <w:rsid w:val="0092268E"/>
    <w:rsid w:val="00954C29"/>
    <w:rsid w:val="00961176"/>
    <w:rsid w:val="009A3914"/>
    <w:rsid w:val="009B0C8B"/>
    <w:rsid w:val="009C64A8"/>
    <w:rsid w:val="009D4B0A"/>
    <w:rsid w:val="009E421D"/>
    <w:rsid w:val="009F5C67"/>
    <w:rsid w:val="009F6289"/>
    <w:rsid w:val="00A24EDD"/>
    <w:rsid w:val="00A3114E"/>
    <w:rsid w:val="00A336D8"/>
    <w:rsid w:val="00A50DE9"/>
    <w:rsid w:val="00A514A0"/>
    <w:rsid w:val="00A52888"/>
    <w:rsid w:val="00A7549B"/>
    <w:rsid w:val="00A9435F"/>
    <w:rsid w:val="00A94E71"/>
    <w:rsid w:val="00A96868"/>
    <w:rsid w:val="00AB79A3"/>
    <w:rsid w:val="00AE78E6"/>
    <w:rsid w:val="00B053EC"/>
    <w:rsid w:val="00B12FE6"/>
    <w:rsid w:val="00B20939"/>
    <w:rsid w:val="00B26169"/>
    <w:rsid w:val="00B42C39"/>
    <w:rsid w:val="00B560A1"/>
    <w:rsid w:val="00B567A1"/>
    <w:rsid w:val="00B57124"/>
    <w:rsid w:val="00B64F22"/>
    <w:rsid w:val="00B65BA2"/>
    <w:rsid w:val="00B83E49"/>
    <w:rsid w:val="00B90519"/>
    <w:rsid w:val="00B9630E"/>
    <w:rsid w:val="00BC0539"/>
    <w:rsid w:val="00BD56E6"/>
    <w:rsid w:val="00BD630C"/>
    <w:rsid w:val="00BF72F7"/>
    <w:rsid w:val="00C078C3"/>
    <w:rsid w:val="00C33733"/>
    <w:rsid w:val="00C40F71"/>
    <w:rsid w:val="00C449CD"/>
    <w:rsid w:val="00C61F0B"/>
    <w:rsid w:val="00C624F1"/>
    <w:rsid w:val="00C76C21"/>
    <w:rsid w:val="00C9634E"/>
    <w:rsid w:val="00CB178E"/>
    <w:rsid w:val="00CC11A3"/>
    <w:rsid w:val="00CD02C3"/>
    <w:rsid w:val="00CD17AD"/>
    <w:rsid w:val="00CE4702"/>
    <w:rsid w:val="00D051F6"/>
    <w:rsid w:val="00D14842"/>
    <w:rsid w:val="00D53367"/>
    <w:rsid w:val="00D6556E"/>
    <w:rsid w:val="00D662FA"/>
    <w:rsid w:val="00D716FD"/>
    <w:rsid w:val="00D73D46"/>
    <w:rsid w:val="00D74A0F"/>
    <w:rsid w:val="00D81ED2"/>
    <w:rsid w:val="00D82CD3"/>
    <w:rsid w:val="00D86DAF"/>
    <w:rsid w:val="00D90909"/>
    <w:rsid w:val="00D93FE3"/>
    <w:rsid w:val="00D94137"/>
    <w:rsid w:val="00D9569C"/>
    <w:rsid w:val="00DA0A88"/>
    <w:rsid w:val="00DA2C98"/>
    <w:rsid w:val="00DD00C8"/>
    <w:rsid w:val="00DD0BDB"/>
    <w:rsid w:val="00DD7745"/>
    <w:rsid w:val="00DE067A"/>
    <w:rsid w:val="00DE7A77"/>
    <w:rsid w:val="00E1362F"/>
    <w:rsid w:val="00E45C3A"/>
    <w:rsid w:val="00E55A87"/>
    <w:rsid w:val="00E56707"/>
    <w:rsid w:val="00E657A2"/>
    <w:rsid w:val="00E778AF"/>
    <w:rsid w:val="00E80340"/>
    <w:rsid w:val="00E86B93"/>
    <w:rsid w:val="00E86BFB"/>
    <w:rsid w:val="00E86DCE"/>
    <w:rsid w:val="00EA533E"/>
    <w:rsid w:val="00EA6EB8"/>
    <w:rsid w:val="00EC4682"/>
    <w:rsid w:val="00EC55C6"/>
    <w:rsid w:val="00ED0F32"/>
    <w:rsid w:val="00ED6E91"/>
    <w:rsid w:val="00EE0E8B"/>
    <w:rsid w:val="00F14266"/>
    <w:rsid w:val="00F43685"/>
    <w:rsid w:val="00F60F59"/>
    <w:rsid w:val="00F679F2"/>
    <w:rsid w:val="00F76FEE"/>
    <w:rsid w:val="00F82371"/>
    <w:rsid w:val="00F871FF"/>
    <w:rsid w:val="00F948AC"/>
    <w:rsid w:val="00FC3AA2"/>
    <w:rsid w:val="00FC453A"/>
    <w:rsid w:val="00FC6201"/>
    <w:rsid w:val="00FC64AD"/>
    <w:rsid w:val="00FD534F"/>
    <w:rsid w:val="00FD6D0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549B"/>
    <w:pPr>
      <w:spacing w:after="200" w:line="276" w:lineRule="auto"/>
    </w:pPr>
    <w:rPr>
      <w:rFonts w:ascii="Times New Roman" w:hAnsi="Times New Roman"/>
      <w:sz w:val="24"/>
      <w:szCs w:val="22"/>
      <w:lang w:val="en-US" w:eastAsia="en-US" w:bidi="en-US"/>
    </w:rPr>
  </w:style>
  <w:style w:type="paragraph" w:styleId="Heading1">
    <w:name w:val="heading 1"/>
    <w:basedOn w:val="Normal"/>
    <w:next w:val="Normal"/>
    <w:link w:val="Heading1Char"/>
    <w:uiPriority w:val="9"/>
    <w:qFormat/>
    <w:rsid w:val="000529D0"/>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0529D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0529D0"/>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0529D0"/>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0529D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0529D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0529D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0529D0"/>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0529D0"/>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01D2F"/>
    <w:pPr>
      <w:tabs>
        <w:tab w:val="center" w:pos="4819"/>
        <w:tab w:val="right" w:pos="9071"/>
      </w:tabs>
    </w:pPr>
    <w:rPr>
      <w:rFonts w:ascii="Univers (W1)" w:hAnsi="Univers (W1)"/>
      <w:lang w:val="en-GB"/>
    </w:rPr>
  </w:style>
  <w:style w:type="paragraph" w:customStyle="1" w:styleId="wfxFaxNum">
    <w:name w:val="wfxFaxNum"/>
    <w:basedOn w:val="Normal"/>
    <w:rsid w:val="00101D2F"/>
  </w:style>
  <w:style w:type="paragraph" w:customStyle="1" w:styleId="wfxRecipient">
    <w:name w:val="wfxRecipient"/>
    <w:basedOn w:val="Normal"/>
    <w:rsid w:val="00101D2F"/>
  </w:style>
  <w:style w:type="character" w:styleId="PageNumber">
    <w:name w:val="page number"/>
    <w:basedOn w:val="DefaultParagraphFont"/>
    <w:rsid w:val="00101D2F"/>
  </w:style>
  <w:style w:type="paragraph" w:styleId="Footer">
    <w:name w:val="footer"/>
    <w:basedOn w:val="Normal"/>
    <w:rsid w:val="00101D2F"/>
    <w:pPr>
      <w:tabs>
        <w:tab w:val="center" w:pos="4153"/>
        <w:tab w:val="right" w:pos="8306"/>
      </w:tabs>
    </w:pPr>
  </w:style>
  <w:style w:type="character" w:customStyle="1" w:styleId="Heading1Char">
    <w:name w:val="Heading 1 Char"/>
    <w:basedOn w:val="DefaultParagraphFont"/>
    <w:link w:val="Heading1"/>
    <w:uiPriority w:val="9"/>
    <w:rsid w:val="000529D0"/>
    <w:rPr>
      <w:rFonts w:ascii="Cambria" w:eastAsia="Times New Roman" w:hAnsi="Cambria" w:cs="Times New Roman"/>
      <w:b/>
      <w:bCs/>
      <w:color w:val="365F91"/>
      <w:sz w:val="28"/>
      <w:szCs w:val="28"/>
    </w:rPr>
  </w:style>
  <w:style w:type="paragraph" w:styleId="BlockText">
    <w:name w:val="Block Text"/>
    <w:basedOn w:val="Normal"/>
    <w:rsid w:val="00101D2F"/>
    <w:pPr>
      <w:spacing w:after="120"/>
      <w:ind w:left="1440" w:right="1440"/>
    </w:pPr>
  </w:style>
  <w:style w:type="paragraph" w:styleId="BodyText">
    <w:name w:val="Body Text"/>
    <w:basedOn w:val="Normal"/>
    <w:rsid w:val="00101D2F"/>
    <w:pPr>
      <w:spacing w:after="120"/>
    </w:pPr>
  </w:style>
  <w:style w:type="paragraph" w:styleId="BodyText2">
    <w:name w:val="Body Text 2"/>
    <w:basedOn w:val="Normal"/>
    <w:rsid w:val="00101D2F"/>
    <w:pPr>
      <w:spacing w:after="120" w:line="480" w:lineRule="auto"/>
    </w:pPr>
  </w:style>
  <w:style w:type="paragraph" w:styleId="BodyText3">
    <w:name w:val="Body Text 3"/>
    <w:basedOn w:val="Normal"/>
    <w:rsid w:val="00101D2F"/>
    <w:pPr>
      <w:spacing w:after="120"/>
    </w:pPr>
    <w:rPr>
      <w:sz w:val="16"/>
    </w:rPr>
  </w:style>
  <w:style w:type="paragraph" w:styleId="BodyTextFirstIndent">
    <w:name w:val="Body Text First Indent"/>
    <w:basedOn w:val="BodyText"/>
    <w:rsid w:val="00101D2F"/>
    <w:pPr>
      <w:ind w:firstLine="210"/>
    </w:pPr>
  </w:style>
  <w:style w:type="paragraph" w:styleId="BodyTextIndent">
    <w:name w:val="Body Text Indent"/>
    <w:basedOn w:val="Normal"/>
    <w:rsid w:val="00101D2F"/>
    <w:pPr>
      <w:spacing w:after="120"/>
      <w:ind w:left="283"/>
    </w:pPr>
  </w:style>
  <w:style w:type="paragraph" w:styleId="BodyTextFirstIndent2">
    <w:name w:val="Body Text First Indent 2"/>
    <w:basedOn w:val="BodyTextIndent"/>
    <w:rsid w:val="00101D2F"/>
    <w:pPr>
      <w:ind w:firstLine="210"/>
    </w:pPr>
  </w:style>
  <w:style w:type="paragraph" w:styleId="BodyTextIndent2">
    <w:name w:val="Body Text Indent 2"/>
    <w:basedOn w:val="Normal"/>
    <w:rsid w:val="00101D2F"/>
    <w:pPr>
      <w:spacing w:after="120" w:line="480" w:lineRule="auto"/>
      <w:ind w:left="283"/>
    </w:pPr>
  </w:style>
  <w:style w:type="character" w:customStyle="1" w:styleId="Heading2Char">
    <w:name w:val="Heading 2 Char"/>
    <w:basedOn w:val="DefaultParagraphFont"/>
    <w:link w:val="Heading2"/>
    <w:uiPriority w:val="9"/>
    <w:rsid w:val="000529D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0529D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0529D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0529D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0529D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0529D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0529D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0529D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0529D0"/>
    <w:pPr>
      <w:spacing w:line="240" w:lineRule="auto"/>
    </w:pPr>
    <w:rPr>
      <w:b/>
      <w:bCs/>
      <w:color w:val="4F81BD"/>
      <w:sz w:val="18"/>
      <w:szCs w:val="18"/>
    </w:rPr>
  </w:style>
  <w:style w:type="paragraph" w:styleId="Title">
    <w:name w:val="Title"/>
    <w:basedOn w:val="Normal"/>
    <w:next w:val="Normal"/>
    <w:link w:val="TitleChar"/>
    <w:uiPriority w:val="10"/>
    <w:qFormat/>
    <w:rsid w:val="000529D0"/>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0529D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0529D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rsid w:val="000529D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0529D0"/>
    <w:rPr>
      <w:b/>
      <w:bCs/>
    </w:rPr>
  </w:style>
  <w:style w:type="character" w:styleId="Emphasis">
    <w:name w:val="Emphasis"/>
    <w:basedOn w:val="DefaultParagraphFont"/>
    <w:uiPriority w:val="20"/>
    <w:qFormat/>
    <w:rsid w:val="000529D0"/>
    <w:rPr>
      <w:i/>
      <w:iCs/>
    </w:rPr>
  </w:style>
  <w:style w:type="paragraph" w:styleId="NoSpacing">
    <w:name w:val="No Spacing"/>
    <w:uiPriority w:val="1"/>
    <w:qFormat/>
    <w:rsid w:val="000529D0"/>
    <w:rPr>
      <w:sz w:val="22"/>
      <w:szCs w:val="22"/>
      <w:lang w:val="en-US" w:eastAsia="en-US" w:bidi="en-US"/>
    </w:rPr>
  </w:style>
  <w:style w:type="paragraph" w:styleId="ListParagraph">
    <w:name w:val="List Paragraph"/>
    <w:basedOn w:val="Normal"/>
    <w:uiPriority w:val="34"/>
    <w:qFormat/>
    <w:rsid w:val="000529D0"/>
    <w:pPr>
      <w:ind w:left="720"/>
      <w:contextualSpacing/>
    </w:pPr>
  </w:style>
  <w:style w:type="paragraph" w:styleId="Quote">
    <w:name w:val="Quote"/>
    <w:basedOn w:val="Normal"/>
    <w:next w:val="Normal"/>
    <w:link w:val="QuoteChar"/>
    <w:uiPriority w:val="29"/>
    <w:qFormat/>
    <w:rsid w:val="000529D0"/>
    <w:rPr>
      <w:i/>
      <w:iCs/>
      <w:color w:val="000000"/>
    </w:rPr>
  </w:style>
  <w:style w:type="character" w:customStyle="1" w:styleId="QuoteChar">
    <w:name w:val="Quote Char"/>
    <w:basedOn w:val="DefaultParagraphFont"/>
    <w:link w:val="Quote"/>
    <w:uiPriority w:val="29"/>
    <w:rsid w:val="000529D0"/>
    <w:rPr>
      <w:i/>
      <w:iCs/>
      <w:color w:val="000000"/>
    </w:rPr>
  </w:style>
  <w:style w:type="paragraph" w:styleId="IntenseQuote">
    <w:name w:val="Intense Quote"/>
    <w:basedOn w:val="Normal"/>
    <w:next w:val="Normal"/>
    <w:link w:val="IntenseQuoteChar"/>
    <w:uiPriority w:val="30"/>
    <w:qFormat/>
    <w:rsid w:val="000529D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0529D0"/>
    <w:rPr>
      <w:b/>
      <w:bCs/>
      <w:i/>
      <w:iCs/>
      <w:color w:val="4F81BD"/>
    </w:rPr>
  </w:style>
  <w:style w:type="character" w:styleId="SubtleEmphasis">
    <w:name w:val="Subtle Emphasis"/>
    <w:basedOn w:val="DefaultParagraphFont"/>
    <w:uiPriority w:val="19"/>
    <w:qFormat/>
    <w:rsid w:val="000529D0"/>
    <w:rPr>
      <w:i/>
      <w:iCs/>
      <w:color w:val="808080"/>
    </w:rPr>
  </w:style>
  <w:style w:type="character" w:styleId="IntenseEmphasis">
    <w:name w:val="Intense Emphasis"/>
    <w:basedOn w:val="DefaultParagraphFont"/>
    <w:uiPriority w:val="21"/>
    <w:qFormat/>
    <w:rsid w:val="000529D0"/>
    <w:rPr>
      <w:b/>
      <w:bCs/>
      <w:i/>
      <w:iCs/>
      <w:color w:val="4F81BD"/>
    </w:rPr>
  </w:style>
  <w:style w:type="character" w:styleId="SubtleReference">
    <w:name w:val="Subtle Reference"/>
    <w:basedOn w:val="DefaultParagraphFont"/>
    <w:uiPriority w:val="31"/>
    <w:qFormat/>
    <w:rsid w:val="000529D0"/>
    <w:rPr>
      <w:smallCaps/>
      <w:color w:val="C0504D"/>
      <w:u w:val="single"/>
    </w:rPr>
  </w:style>
  <w:style w:type="character" w:styleId="IntenseReference">
    <w:name w:val="Intense Reference"/>
    <w:basedOn w:val="DefaultParagraphFont"/>
    <w:uiPriority w:val="32"/>
    <w:qFormat/>
    <w:rsid w:val="000529D0"/>
    <w:rPr>
      <w:b/>
      <w:bCs/>
      <w:smallCaps/>
      <w:color w:val="C0504D"/>
      <w:spacing w:val="5"/>
      <w:u w:val="single"/>
    </w:rPr>
  </w:style>
  <w:style w:type="character" w:styleId="BookTitle">
    <w:name w:val="Book Title"/>
    <w:basedOn w:val="DefaultParagraphFont"/>
    <w:uiPriority w:val="33"/>
    <w:qFormat/>
    <w:rsid w:val="000529D0"/>
    <w:rPr>
      <w:b/>
      <w:bCs/>
      <w:smallCaps/>
      <w:spacing w:val="5"/>
    </w:rPr>
  </w:style>
  <w:style w:type="paragraph" w:styleId="TOCHeading">
    <w:name w:val="TOC Heading"/>
    <w:basedOn w:val="Heading1"/>
    <w:next w:val="Normal"/>
    <w:uiPriority w:val="39"/>
    <w:semiHidden/>
    <w:unhideWhenUsed/>
    <w:qFormat/>
    <w:rsid w:val="000529D0"/>
    <w:pPr>
      <w:outlineLvl w:val="9"/>
    </w:pPr>
  </w:style>
  <w:style w:type="character" w:customStyle="1" w:styleId="label">
    <w:name w:val="label"/>
    <w:basedOn w:val="DefaultParagraphFont"/>
    <w:rsid w:val="00E778AF"/>
  </w:style>
  <w:style w:type="character" w:customStyle="1" w:styleId="spc1">
    <w:name w:val="spc1"/>
    <w:basedOn w:val="DefaultParagraphFont"/>
    <w:rsid w:val="00E778AF"/>
    <w:rPr>
      <w:strike w:val="0"/>
      <w:dstrike w:val="0"/>
      <w:u w:val="none"/>
      <w:effect w:val="none"/>
    </w:rPr>
  </w:style>
  <w:style w:type="paragraph" w:customStyle="1" w:styleId="label9">
    <w:name w:val="label9"/>
    <w:basedOn w:val="Normal"/>
    <w:rsid w:val="00E778AF"/>
    <w:pPr>
      <w:spacing w:after="0" w:line="288" w:lineRule="atLeast"/>
    </w:pPr>
    <w:rPr>
      <w:color w:val="000000"/>
      <w:szCs w:val="24"/>
      <w:lang w:val="en-NZ" w:eastAsia="en-NZ" w:bidi="ar-SA"/>
    </w:rPr>
  </w:style>
  <w:style w:type="paragraph" w:customStyle="1" w:styleId="labelled4">
    <w:name w:val="labelled4"/>
    <w:basedOn w:val="Normal"/>
    <w:rsid w:val="00E778AF"/>
    <w:pPr>
      <w:spacing w:after="0" w:line="288" w:lineRule="atLeast"/>
      <w:ind w:right="240"/>
    </w:pPr>
    <w:rPr>
      <w:color w:val="000000"/>
      <w:szCs w:val="24"/>
      <w:lang w:val="en-NZ" w:eastAsia="en-NZ" w:bidi="ar-SA"/>
    </w:rPr>
  </w:style>
  <w:style w:type="character" w:customStyle="1" w:styleId="deleted2">
    <w:name w:val="deleted2"/>
    <w:basedOn w:val="DefaultParagraphFont"/>
    <w:rsid w:val="00E778AF"/>
    <w:rPr>
      <w:b w:val="0"/>
      <w:bCs w:val="0"/>
      <w:i/>
      <w:iCs/>
      <w:sz w:val="19"/>
      <w:szCs w:val="19"/>
    </w:rPr>
  </w:style>
  <w:style w:type="paragraph" w:styleId="FootnoteText">
    <w:name w:val="footnote text"/>
    <w:basedOn w:val="Normal"/>
    <w:link w:val="FootnoteTextChar"/>
    <w:rsid w:val="00370FAC"/>
    <w:pPr>
      <w:spacing w:after="0" w:line="240" w:lineRule="auto"/>
    </w:pPr>
    <w:rPr>
      <w:sz w:val="20"/>
      <w:szCs w:val="20"/>
    </w:rPr>
  </w:style>
  <w:style w:type="character" w:customStyle="1" w:styleId="FootnoteTextChar">
    <w:name w:val="Footnote Text Char"/>
    <w:basedOn w:val="DefaultParagraphFont"/>
    <w:link w:val="FootnoteText"/>
    <w:rsid w:val="00370FAC"/>
    <w:rPr>
      <w:rFonts w:ascii="Times New Roman" w:hAnsi="Times New Roman"/>
      <w:lang w:val="en-US" w:eastAsia="en-US" w:bidi="en-US"/>
    </w:rPr>
  </w:style>
  <w:style w:type="character" w:styleId="FootnoteReference">
    <w:name w:val="footnote reference"/>
    <w:basedOn w:val="DefaultParagraphFont"/>
    <w:rsid w:val="00370FAC"/>
    <w:rPr>
      <w:vertAlign w:val="superscript"/>
    </w:rPr>
  </w:style>
  <w:style w:type="character" w:styleId="Hyperlink">
    <w:name w:val="Hyperlink"/>
    <w:basedOn w:val="DefaultParagraphFont"/>
    <w:uiPriority w:val="99"/>
    <w:unhideWhenUsed/>
    <w:rsid w:val="008351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549B"/>
    <w:pPr>
      <w:spacing w:after="200" w:line="276" w:lineRule="auto"/>
    </w:pPr>
    <w:rPr>
      <w:rFonts w:ascii="Times New Roman" w:hAnsi="Times New Roman"/>
      <w:sz w:val="24"/>
      <w:szCs w:val="22"/>
      <w:lang w:val="en-US" w:eastAsia="en-US" w:bidi="en-US"/>
    </w:rPr>
  </w:style>
  <w:style w:type="paragraph" w:styleId="Heading1">
    <w:name w:val="heading 1"/>
    <w:basedOn w:val="Normal"/>
    <w:next w:val="Normal"/>
    <w:link w:val="Heading1Char"/>
    <w:uiPriority w:val="9"/>
    <w:qFormat/>
    <w:rsid w:val="000529D0"/>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0529D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0529D0"/>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0529D0"/>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0529D0"/>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0529D0"/>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0529D0"/>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0529D0"/>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0529D0"/>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01D2F"/>
    <w:pPr>
      <w:tabs>
        <w:tab w:val="center" w:pos="4819"/>
        <w:tab w:val="right" w:pos="9071"/>
      </w:tabs>
    </w:pPr>
    <w:rPr>
      <w:rFonts w:ascii="Univers (W1)" w:hAnsi="Univers (W1)"/>
      <w:lang w:val="en-GB"/>
    </w:rPr>
  </w:style>
  <w:style w:type="paragraph" w:customStyle="1" w:styleId="wfxFaxNum">
    <w:name w:val="wfxFaxNum"/>
    <w:basedOn w:val="Normal"/>
    <w:rsid w:val="00101D2F"/>
  </w:style>
  <w:style w:type="paragraph" w:customStyle="1" w:styleId="wfxRecipient">
    <w:name w:val="wfxRecipient"/>
    <w:basedOn w:val="Normal"/>
    <w:rsid w:val="00101D2F"/>
  </w:style>
  <w:style w:type="character" w:styleId="PageNumber">
    <w:name w:val="page number"/>
    <w:basedOn w:val="DefaultParagraphFont"/>
    <w:rsid w:val="00101D2F"/>
  </w:style>
  <w:style w:type="paragraph" w:styleId="Footer">
    <w:name w:val="footer"/>
    <w:basedOn w:val="Normal"/>
    <w:rsid w:val="00101D2F"/>
    <w:pPr>
      <w:tabs>
        <w:tab w:val="center" w:pos="4153"/>
        <w:tab w:val="right" w:pos="8306"/>
      </w:tabs>
    </w:pPr>
  </w:style>
  <w:style w:type="character" w:customStyle="1" w:styleId="Heading1Char">
    <w:name w:val="Heading 1 Char"/>
    <w:basedOn w:val="DefaultParagraphFont"/>
    <w:link w:val="Heading1"/>
    <w:uiPriority w:val="9"/>
    <w:rsid w:val="000529D0"/>
    <w:rPr>
      <w:rFonts w:ascii="Cambria" w:eastAsia="Times New Roman" w:hAnsi="Cambria" w:cs="Times New Roman"/>
      <w:b/>
      <w:bCs/>
      <w:color w:val="365F91"/>
      <w:sz w:val="28"/>
      <w:szCs w:val="28"/>
    </w:rPr>
  </w:style>
  <w:style w:type="paragraph" w:styleId="BlockText">
    <w:name w:val="Block Text"/>
    <w:basedOn w:val="Normal"/>
    <w:rsid w:val="00101D2F"/>
    <w:pPr>
      <w:spacing w:after="120"/>
      <w:ind w:left="1440" w:right="1440"/>
    </w:pPr>
  </w:style>
  <w:style w:type="paragraph" w:styleId="BodyText">
    <w:name w:val="Body Text"/>
    <w:basedOn w:val="Normal"/>
    <w:rsid w:val="00101D2F"/>
    <w:pPr>
      <w:spacing w:after="120"/>
    </w:pPr>
  </w:style>
  <w:style w:type="paragraph" w:styleId="BodyText2">
    <w:name w:val="Body Text 2"/>
    <w:basedOn w:val="Normal"/>
    <w:rsid w:val="00101D2F"/>
    <w:pPr>
      <w:spacing w:after="120" w:line="480" w:lineRule="auto"/>
    </w:pPr>
  </w:style>
  <w:style w:type="paragraph" w:styleId="BodyText3">
    <w:name w:val="Body Text 3"/>
    <w:basedOn w:val="Normal"/>
    <w:rsid w:val="00101D2F"/>
    <w:pPr>
      <w:spacing w:after="120"/>
    </w:pPr>
    <w:rPr>
      <w:sz w:val="16"/>
    </w:rPr>
  </w:style>
  <w:style w:type="paragraph" w:styleId="BodyTextFirstIndent">
    <w:name w:val="Body Text First Indent"/>
    <w:basedOn w:val="BodyText"/>
    <w:rsid w:val="00101D2F"/>
    <w:pPr>
      <w:ind w:firstLine="210"/>
    </w:pPr>
  </w:style>
  <w:style w:type="paragraph" w:styleId="BodyTextIndent">
    <w:name w:val="Body Text Indent"/>
    <w:basedOn w:val="Normal"/>
    <w:rsid w:val="00101D2F"/>
    <w:pPr>
      <w:spacing w:after="120"/>
      <w:ind w:left="283"/>
    </w:pPr>
  </w:style>
  <w:style w:type="paragraph" w:styleId="BodyTextFirstIndent2">
    <w:name w:val="Body Text First Indent 2"/>
    <w:basedOn w:val="BodyTextIndent"/>
    <w:rsid w:val="00101D2F"/>
    <w:pPr>
      <w:ind w:firstLine="210"/>
    </w:pPr>
  </w:style>
  <w:style w:type="paragraph" w:styleId="BodyTextIndent2">
    <w:name w:val="Body Text Indent 2"/>
    <w:basedOn w:val="Normal"/>
    <w:rsid w:val="00101D2F"/>
    <w:pPr>
      <w:spacing w:after="120" w:line="480" w:lineRule="auto"/>
      <w:ind w:left="283"/>
    </w:pPr>
  </w:style>
  <w:style w:type="character" w:customStyle="1" w:styleId="Heading2Char">
    <w:name w:val="Heading 2 Char"/>
    <w:basedOn w:val="DefaultParagraphFont"/>
    <w:link w:val="Heading2"/>
    <w:uiPriority w:val="9"/>
    <w:rsid w:val="000529D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0529D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0529D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0529D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0529D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0529D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0529D0"/>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0529D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0529D0"/>
    <w:pPr>
      <w:spacing w:line="240" w:lineRule="auto"/>
    </w:pPr>
    <w:rPr>
      <w:b/>
      <w:bCs/>
      <w:color w:val="4F81BD"/>
      <w:sz w:val="18"/>
      <w:szCs w:val="18"/>
    </w:rPr>
  </w:style>
  <w:style w:type="paragraph" w:styleId="Title">
    <w:name w:val="Title"/>
    <w:basedOn w:val="Normal"/>
    <w:next w:val="Normal"/>
    <w:link w:val="TitleChar"/>
    <w:uiPriority w:val="10"/>
    <w:qFormat/>
    <w:rsid w:val="000529D0"/>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0529D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0529D0"/>
    <w:pPr>
      <w:numPr>
        <w:ilvl w:val="1"/>
      </w:numPr>
    </w:pPr>
    <w:rPr>
      <w:rFonts w:ascii="Cambria" w:hAnsi="Cambria"/>
      <w:i/>
      <w:iCs/>
      <w:color w:val="4F81BD"/>
      <w:spacing w:val="15"/>
      <w:szCs w:val="24"/>
    </w:rPr>
  </w:style>
  <w:style w:type="character" w:customStyle="1" w:styleId="SubtitleChar">
    <w:name w:val="Subtitle Char"/>
    <w:basedOn w:val="DefaultParagraphFont"/>
    <w:link w:val="Subtitle"/>
    <w:uiPriority w:val="11"/>
    <w:rsid w:val="000529D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0529D0"/>
    <w:rPr>
      <w:b/>
      <w:bCs/>
    </w:rPr>
  </w:style>
  <w:style w:type="character" w:styleId="Emphasis">
    <w:name w:val="Emphasis"/>
    <w:basedOn w:val="DefaultParagraphFont"/>
    <w:uiPriority w:val="20"/>
    <w:qFormat/>
    <w:rsid w:val="000529D0"/>
    <w:rPr>
      <w:i/>
      <w:iCs/>
    </w:rPr>
  </w:style>
  <w:style w:type="paragraph" w:styleId="NoSpacing">
    <w:name w:val="No Spacing"/>
    <w:uiPriority w:val="1"/>
    <w:qFormat/>
    <w:rsid w:val="000529D0"/>
    <w:rPr>
      <w:sz w:val="22"/>
      <w:szCs w:val="22"/>
      <w:lang w:val="en-US" w:eastAsia="en-US" w:bidi="en-US"/>
    </w:rPr>
  </w:style>
  <w:style w:type="paragraph" w:styleId="ListParagraph">
    <w:name w:val="List Paragraph"/>
    <w:basedOn w:val="Normal"/>
    <w:uiPriority w:val="34"/>
    <w:qFormat/>
    <w:rsid w:val="000529D0"/>
    <w:pPr>
      <w:ind w:left="720"/>
      <w:contextualSpacing/>
    </w:pPr>
  </w:style>
  <w:style w:type="paragraph" w:styleId="Quote">
    <w:name w:val="Quote"/>
    <w:basedOn w:val="Normal"/>
    <w:next w:val="Normal"/>
    <w:link w:val="QuoteChar"/>
    <w:uiPriority w:val="29"/>
    <w:qFormat/>
    <w:rsid w:val="000529D0"/>
    <w:rPr>
      <w:i/>
      <w:iCs/>
      <w:color w:val="000000"/>
    </w:rPr>
  </w:style>
  <w:style w:type="character" w:customStyle="1" w:styleId="QuoteChar">
    <w:name w:val="Quote Char"/>
    <w:basedOn w:val="DefaultParagraphFont"/>
    <w:link w:val="Quote"/>
    <w:uiPriority w:val="29"/>
    <w:rsid w:val="000529D0"/>
    <w:rPr>
      <w:i/>
      <w:iCs/>
      <w:color w:val="000000"/>
    </w:rPr>
  </w:style>
  <w:style w:type="paragraph" w:styleId="IntenseQuote">
    <w:name w:val="Intense Quote"/>
    <w:basedOn w:val="Normal"/>
    <w:next w:val="Normal"/>
    <w:link w:val="IntenseQuoteChar"/>
    <w:uiPriority w:val="30"/>
    <w:qFormat/>
    <w:rsid w:val="000529D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0529D0"/>
    <w:rPr>
      <w:b/>
      <w:bCs/>
      <w:i/>
      <w:iCs/>
      <w:color w:val="4F81BD"/>
    </w:rPr>
  </w:style>
  <w:style w:type="character" w:styleId="SubtleEmphasis">
    <w:name w:val="Subtle Emphasis"/>
    <w:basedOn w:val="DefaultParagraphFont"/>
    <w:uiPriority w:val="19"/>
    <w:qFormat/>
    <w:rsid w:val="000529D0"/>
    <w:rPr>
      <w:i/>
      <w:iCs/>
      <w:color w:val="808080"/>
    </w:rPr>
  </w:style>
  <w:style w:type="character" w:styleId="IntenseEmphasis">
    <w:name w:val="Intense Emphasis"/>
    <w:basedOn w:val="DefaultParagraphFont"/>
    <w:uiPriority w:val="21"/>
    <w:qFormat/>
    <w:rsid w:val="000529D0"/>
    <w:rPr>
      <w:b/>
      <w:bCs/>
      <w:i/>
      <w:iCs/>
      <w:color w:val="4F81BD"/>
    </w:rPr>
  </w:style>
  <w:style w:type="character" w:styleId="SubtleReference">
    <w:name w:val="Subtle Reference"/>
    <w:basedOn w:val="DefaultParagraphFont"/>
    <w:uiPriority w:val="31"/>
    <w:qFormat/>
    <w:rsid w:val="000529D0"/>
    <w:rPr>
      <w:smallCaps/>
      <w:color w:val="C0504D"/>
      <w:u w:val="single"/>
    </w:rPr>
  </w:style>
  <w:style w:type="character" w:styleId="IntenseReference">
    <w:name w:val="Intense Reference"/>
    <w:basedOn w:val="DefaultParagraphFont"/>
    <w:uiPriority w:val="32"/>
    <w:qFormat/>
    <w:rsid w:val="000529D0"/>
    <w:rPr>
      <w:b/>
      <w:bCs/>
      <w:smallCaps/>
      <w:color w:val="C0504D"/>
      <w:spacing w:val="5"/>
      <w:u w:val="single"/>
    </w:rPr>
  </w:style>
  <w:style w:type="character" w:styleId="BookTitle">
    <w:name w:val="Book Title"/>
    <w:basedOn w:val="DefaultParagraphFont"/>
    <w:uiPriority w:val="33"/>
    <w:qFormat/>
    <w:rsid w:val="000529D0"/>
    <w:rPr>
      <w:b/>
      <w:bCs/>
      <w:smallCaps/>
      <w:spacing w:val="5"/>
    </w:rPr>
  </w:style>
  <w:style w:type="paragraph" w:styleId="TOCHeading">
    <w:name w:val="TOC Heading"/>
    <w:basedOn w:val="Heading1"/>
    <w:next w:val="Normal"/>
    <w:uiPriority w:val="39"/>
    <w:semiHidden/>
    <w:unhideWhenUsed/>
    <w:qFormat/>
    <w:rsid w:val="000529D0"/>
    <w:pPr>
      <w:outlineLvl w:val="9"/>
    </w:pPr>
  </w:style>
  <w:style w:type="character" w:customStyle="1" w:styleId="label">
    <w:name w:val="label"/>
    <w:basedOn w:val="DefaultParagraphFont"/>
    <w:rsid w:val="00E778AF"/>
  </w:style>
  <w:style w:type="character" w:customStyle="1" w:styleId="spc1">
    <w:name w:val="spc1"/>
    <w:basedOn w:val="DefaultParagraphFont"/>
    <w:rsid w:val="00E778AF"/>
    <w:rPr>
      <w:strike w:val="0"/>
      <w:dstrike w:val="0"/>
      <w:u w:val="none"/>
      <w:effect w:val="none"/>
    </w:rPr>
  </w:style>
  <w:style w:type="paragraph" w:customStyle="1" w:styleId="label9">
    <w:name w:val="label9"/>
    <w:basedOn w:val="Normal"/>
    <w:rsid w:val="00E778AF"/>
    <w:pPr>
      <w:spacing w:after="0" w:line="288" w:lineRule="atLeast"/>
    </w:pPr>
    <w:rPr>
      <w:color w:val="000000"/>
      <w:szCs w:val="24"/>
      <w:lang w:val="en-NZ" w:eastAsia="en-NZ" w:bidi="ar-SA"/>
    </w:rPr>
  </w:style>
  <w:style w:type="paragraph" w:customStyle="1" w:styleId="labelled4">
    <w:name w:val="labelled4"/>
    <w:basedOn w:val="Normal"/>
    <w:rsid w:val="00E778AF"/>
    <w:pPr>
      <w:spacing w:after="0" w:line="288" w:lineRule="atLeast"/>
      <w:ind w:right="240"/>
    </w:pPr>
    <w:rPr>
      <w:color w:val="000000"/>
      <w:szCs w:val="24"/>
      <w:lang w:val="en-NZ" w:eastAsia="en-NZ" w:bidi="ar-SA"/>
    </w:rPr>
  </w:style>
  <w:style w:type="character" w:customStyle="1" w:styleId="deleted2">
    <w:name w:val="deleted2"/>
    <w:basedOn w:val="DefaultParagraphFont"/>
    <w:rsid w:val="00E778AF"/>
    <w:rPr>
      <w:b w:val="0"/>
      <w:bCs w:val="0"/>
      <w:i/>
      <w:iCs/>
      <w:sz w:val="19"/>
      <w:szCs w:val="19"/>
    </w:rPr>
  </w:style>
  <w:style w:type="paragraph" w:styleId="FootnoteText">
    <w:name w:val="footnote text"/>
    <w:basedOn w:val="Normal"/>
    <w:link w:val="FootnoteTextChar"/>
    <w:rsid w:val="00370FAC"/>
    <w:pPr>
      <w:spacing w:after="0" w:line="240" w:lineRule="auto"/>
    </w:pPr>
    <w:rPr>
      <w:sz w:val="20"/>
      <w:szCs w:val="20"/>
    </w:rPr>
  </w:style>
  <w:style w:type="character" w:customStyle="1" w:styleId="FootnoteTextChar">
    <w:name w:val="Footnote Text Char"/>
    <w:basedOn w:val="DefaultParagraphFont"/>
    <w:link w:val="FootnoteText"/>
    <w:rsid w:val="00370FAC"/>
    <w:rPr>
      <w:rFonts w:ascii="Times New Roman" w:hAnsi="Times New Roman"/>
      <w:lang w:val="en-US" w:eastAsia="en-US" w:bidi="en-US"/>
    </w:rPr>
  </w:style>
  <w:style w:type="character" w:styleId="FootnoteReference">
    <w:name w:val="footnote reference"/>
    <w:basedOn w:val="DefaultParagraphFont"/>
    <w:rsid w:val="00370FAC"/>
    <w:rPr>
      <w:vertAlign w:val="superscript"/>
    </w:rPr>
  </w:style>
  <w:style w:type="character" w:styleId="Hyperlink">
    <w:name w:val="Hyperlink"/>
    <w:basedOn w:val="DefaultParagraphFont"/>
    <w:uiPriority w:val="99"/>
    <w:unhideWhenUsed/>
    <w:rsid w:val="008351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543610">
      <w:bodyDiv w:val="1"/>
      <w:marLeft w:val="0"/>
      <w:marRight w:val="0"/>
      <w:marTop w:val="0"/>
      <w:marBottom w:val="0"/>
      <w:divBdr>
        <w:top w:val="none" w:sz="0" w:space="0" w:color="auto"/>
        <w:left w:val="none" w:sz="0" w:space="0" w:color="auto"/>
        <w:bottom w:val="none" w:sz="0" w:space="0" w:color="auto"/>
        <w:right w:val="none" w:sz="0" w:space="0" w:color="auto"/>
      </w:divBdr>
      <w:divsChild>
        <w:div w:id="2118324588">
          <w:marLeft w:val="0"/>
          <w:marRight w:val="0"/>
          <w:marTop w:val="0"/>
          <w:marBottom w:val="0"/>
          <w:divBdr>
            <w:top w:val="none" w:sz="0" w:space="0" w:color="auto"/>
            <w:left w:val="none" w:sz="0" w:space="0" w:color="auto"/>
            <w:bottom w:val="none" w:sz="0" w:space="0" w:color="auto"/>
            <w:right w:val="none" w:sz="0" w:space="0" w:color="auto"/>
          </w:divBdr>
          <w:divsChild>
            <w:div w:id="438648860">
              <w:marLeft w:val="0"/>
              <w:marRight w:val="0"/>
              <w:marTop w:val="0"/>
              <w:marBottom w:val="0"/>
              <w:divBdr>
                <w:top w:val="none" w:sz="0" w:space="0" w:color="auto"/>
                <w:left w:val="none" w:sz="0" w:space="0" w:color="auto"/>
                <w:bottom w:val="none" w:sz="0" w:space="0" w:color="auto"/>
                <w:right w:val="none" w:sz="0" w:space="0" w:color="auto"/>
              </w:divBdr>
              <w:divsChild>
                <w:div w:id="588932617">
                  <w:marLeft w:val="0"/>
                  <w:marRight w:val="0"/>
                  <w:marTop w:val="105"/>
                  <w:marBottom w:val="0"/>
                  <w:divBdr>
                    <w:top w:val="none" w:sz="0" w:space="0" w:color="auto"/>
                    <w:left w:val="none" w:sz="0" w:space="0" w:color="auto"/>
                    <w:bottom w:val="none" w:sz="0" w:space="0" w:color="auto"/>
                    <w:right w:val="none" w:sz="0" w:space="0" w:color="auto"/>
                  </w:divBdr>
                  <w:divsChild>
                    <w:div w:id="892159836">
                      <w:marLeft w:val="450"/>
                      <w:marRight w:val="225"/>
                      <w:marTop w:val="0"/>
                      <w:marBottom w:val="0"/>
                      <w:divBdr>
                        <w:top w:val="none" w:sz="0" w:space="0" w:color="auto"/>
                        <w:left w:val="none" w:sz="0" w:space="0" w:color="auto"/>
                        <w:bottom w:val="none" w:sz="0" w:space="0" w:color="auto"/>
                        <w:right w:val="none" w:sz="0" w:space="0" w:color="auto"/>
                      </w:divBdr>
                      <w:divsChild>
                        <w:div w:id="751046969">
                          <w:marLeft w:val="0"/>
                          <w:marRight w:val="0"/>
                          <w:marTop w:val="0"/>
                          <w:marBottom w:val="600"/>
                          <w:divBdr>
                            <w:top w:val="single" w:sz="6" w:space="0" w:color="314664"/>
                            <w:left w:val="single" w:sz="6" w:space="0" w:color="314664"/>
                            <w:bottom w:val="single" w:sz="6" w:space="0" w:color="314664"/>
                            <w:right w:val="single" w:sz="6" w:space="0" w:color="314664"/>
                          </w:divBdr>
                          <w:divsChild>
                            <w:div w:id="120533931">
                              <w:marLeft w:val="0"/>
                              <w:marRight w:val="0"/>
                              <w:marTop w:val="0"/>
                              <w:marBottom w:val="0"/>
                              <w:divBdr>
                                <w:top w:val="none" w:sz="0" w:space="0" w:color="auto"/>
                                <w:left w:val="none" w:sz="0" w:space="0" w:color="auto"/>
                                <w:bottom w:val="none" w:sz="0" w:space="0" w:color="auto"/>
                                <w:right w:val="none" w:sz="0" w:space="0" w:color="auto"/>
                              </w:divBdr>
                              <w:divsChild>
                                <w:div w:id="1935046938">
                                  <w:marLeft w:val="0"/>
                                  <w:marRight w:val="0"/>
                                  <w:marTop w:val="0"/>
                                  <w:marBottom w:val="0"/>
                                  <w:divBdr>
                                    <w:top w:val="none" w:sz="0" w:space="0" w:color="auto"/>
                                    <w:left w:val="none" w:sz="0" w:space="0" w:color="auto"/>
                                    <w:bottom w:val="none" w:sz="0" w:space="0" w:color="auto"/>
                                    <w:right w:val="none" w:sz="0" w:space="0" w:color="auto"/>
                                  </w:divBdr>
                                  <w:divsChild>
                                    <w:div w:id="1374109607">
                                      <w:marLeft w:val="0"/>
                                      <w:marRight w:val="0"/>
                                      <w:marTop w:val="0"/>
                                      <w:marBottom w:val="0"/>
                                      <w:divBdr>
                                        <w:top w:val="none" w:sz="0" w:space="0" w:color="auto"/>
                                        <w:left w:val="none" w:sz="0" w:space="0" w:color="auto"/>
                                        <w:bottom w:val="none" w:sz="0" w:space="0" w:color="auto"/>
                                        <w:right w:val="none" w:sz="0" w:space="0" w:color="auto"/>
                                      </w:divBdr>
                                      <w:divsChild>
                                        <w:div w:id="1914047551">
                                          <w:marLeft w:val="0"/>
                                          <w:marRight w:val="0"/>
                                          <w:marTop w:val="0"/>
                                          <w:marBottom w:val="0"/>
                                          <w:divBdr>
                                            <w:top w:val="none" w:sz="0" w:space="0" w:color="auto"/>
                                            <w:left w:val="none" w:sz="0" w:space="0" w:color="auto"/>
                                            <w:bottom w:val="none" w:sz="0" w:space="0" w:color="auto"/>
                                            <w:right w:val="none" w:sz="0" w:space="0" w:color="auto"/>
                                          </w:divBdr>
                                          <w:divsChild>
                                            <w:div w:id="725878427">
                                              <w:marLeft w:val="0"/>
                                              <w:marRight w:val="0"/>
                                              <w:marTop w:val="0"/>
                                              <w:marBottom w:val="0"/>
                                              <w:divBdr>
                                                <w:top w:val="none" w:sz="0" w:space="0" w:color="auto"/>
                                                <w:left w:val="none" w:sz="0" w:space="0" w:color="auto"/>
                                                <w:bottom w:val="none" w:sz="0" w:space="0" w:color="auto"/>
                                                <w:right w:val="none" w:sz="0" w:space="0" w:color="auto"/>
                                              </w:divBdr>
                                              <w:divsChild>
                                                <w:div w:id="1407220796">
                                                  <w:marLeft w:val="0"/>
                                                  <w:marRight w:val="0"/>
                                                  <w:marTop w:val="0"/>
                                                  <w:marBottom w:val="0"/>
                                                  <w:divBdr>
                                                    <w:top w:val="none" w:sz="0" w:space="0" w:color="auto"/>
                                                    <w:left w:val="none" w:sz="0" w:space="0" w:color="auto"/>
                                                    <w:bottom w:val="none" w:sz="0" w:space="0" w:color="auto"/>
                                                    <w:right w:val="none" w:sz="0" w:space="0" w:color="auto"/>
                                                  </w:divBdr>
                                                  <w:divsChild>
                                                    <w:div w:id="181829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n.wikipedia.org/wiki/Domestic_partnership" TargetMode="External"/><Relationship Id="rId2" Type="http://schemas.openxmlformats.org/officeDocument/2006/relationships/hyperlink" Target="http://en.wikipedia.org/wiki/Civil_union" TargetMode="External"/><Relationship Id="rId1" Type="http://schemas.openxmlformats.org/officeDocument/2006/relationships/hyperlink" Target="http://en.wikipedia.org/wiki/Marriage" TargetMode="External"/><Relationship Id="rId4" Type="http://schemas.openxmlformats.org/officeDocument/2006/relationships/hyperlink" Target="http://en.wikipedia.org/wiki/Common-law_marri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D85933E-6D3E-45CE-81EB-BCA8EC83E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3295</Words>
  <Characters>18786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RLFisher</dc:creator>
  <cp:lastModifiedBy>RLFisher</cp:lastModifiedBy>
  <cp:revision>2</cp:revision>
  <cp:lastPrinted>2014-09-24T00:27:00Z</cp:lastPrinted>
  <dcterms:created xsi:type="dcterms:W3CDTF">2015-09-09T04:13:00Z</dcterms:created>
  <dcterms:modified xsi:type="dcterms:W3CDTF">2015-09-09T04:13:00Z</dcterms:modified>
</cp:coreProperties>
</file>